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3A5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723" w:firstLineChars="200"/>
        <w:jc w:val="center"/>
        <w:textAlignment w:val="auto"/>
        <w:rPr>
          <w:rFonts w:hint="default" w:eastAsia="宋体"/>
          <w:color w:val="auto"/>
          <w:sz w:val="36"/>
          <w:szCs w:val="36"/>
          <w:lang w:val="en-US" w:eastAsia="zh-CN"/>
        </w:rPr>
      </w:pPr>
      <w:r>
        <w:rPr>
          <w:rFonts w:hint="eastAsia"/>
          <w:color w:val="auto"/>
          <w:sz w:val="36"/>
          <w:szCs w:val="36"/>
          <w:lang w:val="en-US" w:eastAsia="zh-CN"/>
        </w:rPr>
        <w:t>项目实施要求</w:t>
      </w:r>
    </w:p>
    <w:p w14:paraId="231821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一、项目概况</w:t>
      </w:r>
    </w:p>
    <w:p w14:paraId="761E8C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（一）项目基本信息</w:t>
      </w:r>
    </w:p>
    <w:p w14:paraId="74F0B6A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项目名称：华东师范大学澄迈实验中学消防维保项目</w:t>
      </w:r>
    </w:p>
    <w:p w14:paraId="23735BFB">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使用单位：华东师范大学澄迈实验中学</w:t>
      </w:r>
    </w:p>
    <w:p w14:paraId="346A05E3">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项目地点：海南省澄迈县老城经济开发区北二环南侧校园（包含一期、二期全部建筑）</w:t>
      </w:r>
    </w:p>
    <w:p w14:paraId="4CD53409">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服务期限</w:t>
      </w:r>
      <w:r>
        <w:rPr>
          <w:rFonts w:hint="eastAsia"/>
          <w:color w:val="auto"/>
          <w:sz w:val="24"/>
          <w:szCs w:val="24"/>
        </w:rPr>
        <w:t>2026年8月1日至2027年7月31日</w:t>
      </w:r>
      <w:r>
        <w:rPr>
          <w:color w:val="auto"/>
          <w:sz w:val="24"/>
          <w:szCs w:val="24"/>
        </w:rPr>
        <w:t>全年消防常态化维保服务</w:t>
      </w:r>
    </w:p>
    <w:p w14:paraId="0A97A2DE">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资金来源：学校财政公用经费（公办教育专项资金）</w:t>
      </w:r>
    </w:p>
    <w:p w14:paraId="2BFEDC85">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color w:val="auto"/>
          <w:sz w:val="24"/>
          <w:szCs w:val="24"/>
        </w:rPr>
        <w:t>项目性质：既有公办教育建筑消防设施日常巡检、维护保养、故障调试、消防安全档案台账管理服务采购项目</w:t>
      </w:r>
    </w:p>
    <w:p w14:paraId="451682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（二）建筑规模与业态参数</w:t>
      </w:r>
    </w:p>
    <w:p w14:paraId="1B336C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 xml:space="preserve">校园总用地约 </w:t>
      </w:r>
      <w:r>
        <w:rPr>
          <w:rFonts w:ascii="宋体" w:hAnsi="宋体" w:eastAsia="宋体" w:cs="宋体"/>
          <w:color w:val="auto"/>
          <w:sz w:val="24"/>
          <w:szCs w:val="24"/>
        </w:rPr>
        <w:t>213 亩</w:t>
      </w:r>
      <w:r>
        <w:rPr>
          <w:rFonts w:ascii="宋体" w:hAnsi="宋体" w:eastAsia="宋体" w:cs="宋体"/>
          <w:color w:val="auto"/>
          <w:kern w:val="0"/>
          <w:sz w:val="24"/>
          <w:szCs w:val="24"/>
          <w:lang w:val="en-US" w:eastAsia="zh-CN" w:bidi="ar"/>
        </w:rPr>
        <w:t>，一、二期总建筑面积 128619.21㎡；其中地上建筑面积 123219.77㎡，地下建筑面积 5399.44㎡。全部建筑耐火等级二级，属于人员密集型寄宿制公办完全中学，在校师生数量大，被列为县级消防安全重点单位。</w:t>
      </w:r>
    </w:p>
    <w:p w14:paraId="288B14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（三）一期建筑单体明细（全部地上，无地下室）</w:t>
      </w:r>
    </w:p>
    <w:p w14:paraId="78F913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表格</w:t>
      </w:r>
    </w:p>
    <w:tbl>
      <w:tblPr>
        <w:tblStyle w:val="4"/>
        <w:tblW w:w="9658"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6"/>
        <w:gridCol w:w="1595"/>
        <w:gridCol w:w="1113"/>
        <w:gridCol w:w="1230"/>
        <w:gridCol w:w="1716"/>
        <w:gridCol w:w="1113"/>
        <w:gridCol w:w="1113"/>
        <w:gridCol w:w="1132"/>
      </w:tblGrid>
      <w:tr w14:paraId="3307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blCellSpacing w:w="15" w:type="dxa"/>
          <w:jc w:val="center"/>
        </w:trPr>
        <w:tc>
          <w:tcPr>
            <w:tcW w:w="601" w:type="dxa"/>
            <w:tcBorders>
              <w:tl2br w:val="nil"/>
              <w:tr2bl w:val="nil"/>
            </w:tcBorders>
            <w:noWrap w:val="0"/>
            <w:vAlign w:val="center"/>
          </w:tcPr>
          <w:p w14:paraId="1BC9D6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序号</w:t>
            </w:r>
          </w:p>
        </w:tc>
        <w:tc>
          <w:tcPr>
            <w:tcW w:w="1565" w:type="dxa"/>
            <w:tcBorders>
              <w:tl2br w:val="nil"/>
              <w:tr2bl w:val="nil"/>
            </w:tcBorders>
            <w:noWrap w:val="0"/>
            <w:vAlign w:val="center"/>
          </w:tcPr>
          <w:p w14:paraId="4F5BFD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建筑名称</w:t>
            </w:r>
          </w:p>
        </w:tc>
        <w:tc>
          <w:tcPr>
            <w:tcW w:w="1083" w:type="dxa"/>
            <w:tcBorders>
              <w:tl2br w:val="nil"/>
              <w:tr2bl w:val="nil"/>
            </w:tcBorders>
            <w:noWrap w:val="0"/>
            <w:vAlign w:val="center"/>
          </w:tcPr>
          <w:p w14:paraId="431BB6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使用性质</w:t>
            </w:r>
          </w:p>
        </w:tc>
        <w:tc>
          <w:tcPr>
            <w:tcW w:w="1200" w:type="dxa"/>
            <w:tcBorders>
              <w:tl2br w:val="nil"/>
              <w:tr2bl w:val="nil"/>
            </w:tcBorders>
            <w:noWrap w:val="0"/>
            <w:vAlign w:val="center"/>
          </w:tcPr>
          <w:p w14:paraId="516376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建筑类别</w:t>
            </w:r>
          </w:p>
        </w:tc>
        <w:tc>
          <w:tcPr>
            <w:tcW w:w="1686" w:type="dxa"/>
            <w:tcBorders>
              <w:tl2br w:val="nil"/>
              <w:tr2bl w:val="nil"/>
            </w:tcBorders>
            <w:noWrap w:val="0"/>
            <w:vAlign w:val="center"/>
          </w:tcPr>
          <w:p w14:paraId="3E564E2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层数</w:t>
            </w:r>
          </w:p>
          <w:p w14:paraId="2A9407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（地上/地下）</w:t>
            </w:r>
          </w:p>
        </w:tc>
        <w:tc>
          <w:tcPr>
            <w:tcW w:w="1083" w:type="dxa"/>
            <w:tcBorders>
              <w:tl2br w:val="nil"/>
              <w:tr2bl w:val="nil"/>
            </w:tcBorders>
            <w:noWrap w:val="0"/>
            <w:vAlign w:val="center"/>
          </w:tcPr>
          <w:p w14:paraId="37824A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建筑高度</w:t>
            </w:r>
          </w:p>
          <w:p w14:paraId="212471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(m)</w:t>
            </w:r>
          </w:p>
        </w:tc>
        <w:tc>
          <w:tcPr>
            <w:tcW w:w="1083" w:type="dxa"/>
            <w:tcBorders>
              <w:tl2br w:val="nil"/>
              <w:tr2bl w:val="nil"/>
            </w:tcBorders>
            <w:noWrap w:val="0"/>
            <w:vAlign w:val="center"/>
          </w:tcPr>
          <w:p w14:paraId="12C6AF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占地面积</w:t>
            </w:r>
          </w:p>
          <w:p w14:paraId="592C81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c>
          <w:tcPr>
            <w:tcW w:w="1087" w:type="dxa"/>
            <w:tcBorders>
              <w:tl2br w:val="nil"/>
              <w:tr2bl w:val="nil"/>
            </w:tcBorders>
            <w:noWrap w:val="0"/>
            <w:vAlign w:val="center"/>
          </w:tcPr>
          <w:p w14:paraId="47A4AB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建筑面积</w:t>
            </w:r>
          </w:p>
          <w:p w14:paraId="02C74D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r>
      <w:tr w14:paraId="02AA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48AF37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w:t>
            </w:r>
          </w:p>
        </w:tc>
        <w:tc>
          <w:tcPr>
            <w:tcW w:w="1565" w:type="dxa"/>
            <w:tcBorders>
              <w:tl2br w:val="nil"/>
              <w:tr2bl w:val="nil"/>
            </w:tcBorders>
            <w:noWrap w:val="0"/>
            <w:vAlign w:val="center"/>
          </w:tcPr>
          <w:p w14:paraId="3B21BC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图书馆</w:t>
            </w:r>
          </w:p>
        </w:tc>
        <w:tc>
          <w:tcPr>
            <w:tcW w:w="1083" w:type="dxa"/>
            <w:tcBorders>
              <w:tl2br w:val="nil"/>
              <w:tr2bl w:val="nil"/>
            </w:tcBorders>
            <w:noWrap w:val="0"/>
            <w:vAlign w:val="center"/>
          </w:tcPr>
          <w:p w14:paraId="3337A2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1ABD1A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7A77B0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5/0</w:t>
            </w:r>
          </w:p>
        </w:tc>
        <w:tc>
          <w:tcPr>
            <w:tcW w:w="1083" w:type="dxa"/>
            <w:tcBorders>
              <w:tl2br w:val="nil"/>
              <w:tr2bl w:val="nil"/>
            </w:tcBorders>
            <w:noWrap w:val="0"/>
            <w:vAlign w:val="center"/>
          </w:tcPr>
          <w:p w14:paraId="07E37D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21.85</w:t>
            </w:r>
          </w:p>
        </w:tc>
        <w:tc>
          <w:tcPr>
            <w:tcW w:w="1083" w:type="dxa"/>
            <w:tcBorders>
              <w:tl2br w:val="nil"/>
              <w:tr2bl w:val="nil"/>
            </w:tcBorders>
            <w:noWrap w:val="0"/>
            <w:vAlign w:val="center"/>
          </w:tcPr>
          <w:p w14:paraId="53A592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993.80</w:t>
            </w:r>
          </w:p>
        </w:tc>
        <w:tc>
          <w:tcPr>
            <w:tcW w:w="1087" w:type="dxa"/>
            <w:tcBorders>
              <w:tl2br w:val="nil"/>
              <w:tr2bl w:val="nil"/>
            </w:tcBorders>
            <w:noWrap w:val="0"/>
            <w:vAlign w:val="center"/>
          </w:tcPr>
          <w:p w14:paraId="30947A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4792.92</w:t>
            </w:r>
          </w:p>
        </w:tc>
      </w:tr>
      <w:tr w14:paraId="1393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4559E9A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w:t>
            </w:r>
          </w:p>
        </w:tc>
        <w:tc>
          <w:tcPr>
            <w:tcW w:w="1565" w:type="dxa"/>
            <w:tcBorders>
              <w:tl2br w:val="nil"/>
              <w:tr2bl w:val="nil"/>
            </w:tcBorders>
            <w:noWrap w:val="0"/>
            <w:vAlign w:val="center"/>
          </w:tcPr>
          <w:p w14:paraId="199AAD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食堂</w:t>
            </w:r>
          </w:p>
        </w:tc>
        <w:tc>
          <w:tcPr>
            <w:tcW w:w="1083" w:type="dxa"/>
            <w:tcBorders>
              <w:tl2br w:val="nil"/>
              <w:tr2bl w:val="nil"/>
            </w:tcBorders>
            <w:noWrap w:val="0"/>
            <w:vAlign w:val="center"/>
          </w:tcPr>
          <w:p w14:paraId="1BEEB7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3D8865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43E15F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3/0</w:t>
            </w:r>
          </w:p>
        </w:tc>
        <w:tc>
          <w:tcPr>
            <w:tcW w:w="1083" w:type="dxa"/>
            <w:tcBorders>
              <w:tl2br w:val="nil"/>
              <w:tr2bl w:val="nil"/>
            </w:tcBorders>
            <w:noWrap w:val="0"/>
            <w:vAlign w:val="center"/>
          </w:tcPr>
          <w:p w14:paraId="7606B6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12.75</w:t>
            </w:r>
          </w:p>
        </w:tc>
        <w:tc>
          <w:tcPr>
            <w:tcW w:w="1083" w:type="dxa"/>
            <w:tcBorders>
              <w:tl2br w:val="nil"/>
              <w:tr2bl w:val="nil"/>
            </w:tcBorders>
            <w:noWrap w:val="0"/>
            <w:vAlign w:val="center"/>
          </w:tcPr>
          <w:p w14:paraId="4B55B5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1894.73</w:t>
            </w:r>
          </w:p>
        </w:tc>
        <w:tc>
          <w:tcPr>
            <w:tcW w:w="1087" w:type="dxa"/>
            <w:tcBorders>
              <w:tl2br w:val="nil"/>
              <w:tr2bl w:val="nil"/>
            </w:tcBorders>
            <w:noWrap w:val="0"/>
            <w:vAlign w:val="center"/>
          </w:tcPr>
          <w:p w14:paraId="40E9F4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5819.09</w:t>
            </w:r>
          </w:p>
        </w:tc>
      </w:tr>
      <w:tr w14:paraId="6161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7E01FC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w:t>
            </w:r>
          </w:p>
        </w:tc>
        <w:tc>
          <w:tcPr>
            <w:tcW w:w="1565" w:type="dxa"/>
            <w:tcBorders>
              <w:tl2br w:val="nil"/>
              <w:tr2bl w:val="nil"/>
            </w:tcBorders>
            <w:noWrap w:val="0"/>
            <w:vAlign w:val="center"/>
          </w:tcPr>
          <w:p w14:paraId="22F7D7F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实验楼</w:t>
            </w:r>
          </w:p>
        </w:tc>
        <w:tc>
          <w:tcPr>
            <w:tcW w:w="1083" w:type="dxa"/>
            <w:tcBorders>
              <w:tl2br w:val="nil"/>
              <w:tr2bl w:val="nil"/>
            </w:tcBorders>
            <w:noWrap w:val="0"/>
            <w:vAlign w:val="center"/>
          </w:tcPr>
          <w:p w14:paraId="05474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29D466E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647BAE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5/0</w:t>
            </w:r>
          </w:p>
        </w:tc>
        <w:tc>
          <w:tcPr>
            <w:tcW w:w="1083" w:type="dxa"/>
            <w:tcBorders>
              <w:tl2br w:val="nil"/>
              <w:tr2bl w:val="nil"/>
            </w:tcBorders>
            <w:noWrap w:val="0"/>
            <w:vAlign w:val="center"/>
          </w:tcPr>
          <w:p w14:paraId="711CE6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20.55</w:t>
            </w:r>
          </w:p>
        </w:tc>
        <w:tc>
          <w:tcPr>
            <w:tcW w:w="1083" w:type="dxa"/>
            <w:tcBorders>
              <w:tl2br w:val="nil"/>
              <w:tr2bl w:val="nil"/>
            </w:tcBorders>
            <w:noWrap w:val="0"/>
            <w:vAlign w:val="center"/>
          </w:tcPr>
          <w:p w14:paraId="750B2B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993.80</w:t>
            </w:r>
          </w:p>
        </w:tc>
        <w:tc>
          <w:tcPr>
            <w:tcW w:w="1087" w:type="dxa"/>
            <w:tcBorders>
              <w:tl2br w:val="nil"/>
              <w:tr2bl w:val="nil"/>
            </w:tcBorders>
            <w:noWrap w:val="0"/>
            <w:vAlign w:val="center"/>
          </w:tcPr>
          <w:p w14:paraId="5B1098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4616.66</w:t>
            </w:r>
          </w:p>
        </w:tc>
      </w:tr>
      <w:tr w14:paraId="4E2F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69AC75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w:t>
            </w:r>
          </w:p>
        </w:tc>
        <w:tc>
          <w:tcPr>
            <w:tcW w:w="1565" w:type="dxa"/>
            <w:tcBorders>
              <w:tl2br w:val="nil"/>
              <w:tr2bl w:val="nil"/>
            </w:tcBorders>
            <w:noWrap w:val="0"/>
            <w:vAlign w:val="center"/>
          </w:tcPr>
          <w:p w14:paraId="2CB9105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连廊</w:t>
            </w:r>
          </w:p>
        </w:tc>
        <w:tc>
          <w:tcPr>
            <w:tcW w:w="1083" w:type="dxa"/>
            <w:tcBorders>
              <w:tl2br w:val="nil"/>
              <w:tr2bl w:val="nil"/>
            </w:tcBorders>
            <w:noWrap w:val="0"/>
            <w:vAlign w:val="center"/>
          </w:tcPr>
          <w:p w14:paraId="476677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7BA352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3EB1F4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1/1</w:t>
            </w:r>
          </w:p>
        </w:tc>
        <w:tc>
          <w:tcPr>
            <w:tcW w:w="1083" w:type="dxa"/>
            <w:tcBorders>
              <w:tl2br w:val="nil"/>
              <w:tr2bl w:val="nil"/>
            </w:tcBorders>
            <w:noWrap w:val="0"/>
            <w:vAlign w:val="center"/>
          </w:tcPr>
          <w:p w14:paraId="3F383E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20.55</w:t>
            </w:r>
          </w:p>
        </w:tc>
        <w:tc>
          <w:tcPr>
            <w:tcW w:w="1083" w:type="dxa"/>
            <w:tcBorders>
              <w:tl2br w:val="nil"/>
              <w:tr2bl w:val="nil"/>
            </w:tcBorders>
            <w:noWrap w:val="0"/>
            <w:vAlign w:val="center"/>
          </w:tcPr>
          <w:p w14:paraId="0C1EE4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206.66</w:t>
            </w:r>
          </w:p>
        </w:tc>
        <w:tc>
          <w:tcPr>
            <w:tcW w:w="1087" w:type="dxa"/>
            <w:tcBorders>
              <w:tl2br w:val="nil"/>
              <w:tr2bl w:val="nil"/>
            </w:tcBorders>
            <w:noWrap w:val="0"/>
            <w:vAlign w:val="center"/>
          </w:tcPr>
          <w:p w14:paraId="73EEBA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2066.64</w:t>
            </w:r>
          </w:p>
        </w:tc>
      </w:tr>
      <w:tr w14:paraId="6A21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499459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w:t>
            </w:r>
          </w:p>
        </w:tc>
        <w:tc>
          <w:tcPr>
            <w:tcW w:w="1565" w:type="dxa"/>
            <w:tcBorders>
              <w:tl2br w:val="nil"/>
              <w:tr2bl w:val="nil"/>
            </w:tcBorders>
            <w:noWrap w:val="0"/>
            <w:vAlign w:val="center"/>
          </w:tcPr>
          <w:p w14:paraId="1D3B4E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教师周转用房</w:t>
            </w:r>
          </w:p>
        </w:tc>
        <w:tc>
          <w:tcPr>
            <w:tcW w:w="1083" w:type="dxa"/>
            <w:tcBorders>
              <w:tl2br w:val="nil"/>
              <w:tr2bl w:val="nil"/>
            </w:tcBorders>
            <w:noWrap w:val="0"/>
            <w:vAlign w:val="center"/>
          </w:tcPr>
          <w:p w14:paraId="733B0DC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4C52F5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70C90A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8/0</w:t>
            </w:r>
          </w:p>
        </w:tc>
        <w:tc>
          <w:tcPr>
            <w:tcW w:w="1083" w:type="dxa"/>
            <w:tcBorders>
              <w:tl2br w:val="nil"/>
              <w:tr2bl w:val="nil"/>
            </w:tcBorders>
            <w:noWrap w:val="0"/>
            <w:vAlign w:val="center"/>
          </w:tcPr>
          <w:p w14:paraId="76AE5B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23.90</w:t>
            </w:r>
          </w:p>
        </w:tc>
        <w:tc>
          <w:tcPr>
            <w:tcW w:w="1083" w:type="dxa"/>
            <w:tcBorders>
              <w:tl2br w:val="nil"/>
              <w:tr2bl w:val="nil"/>
            </w:tcBorders>
            <w:noWrap w:val="0"/>
            <w:vAlign w:val="center"/>
          </w:tcPr>
          <w:p w14:paraId="4E4CF2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585.75</w:t>
            </w:r>
          </w:p>
        </w:tc>
        <w:tc>
          <w:tcPr>
            <w:tcW w:w="1087" w:type="dxa"/>
            <w:tcBorders>
              <w:tl2br w:val="nil"/>
              <w:tr2bl w:val="nil"/>
            </w:tcBorders>
            <w:noWrap w:val="0"/>
            <w:vAlign w:val="center"/>
          </w:tcPr>
          <w:p w14:paraId="264328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3911.39</w:t>
            </w:r>
          </w:p>
        </w:tc>
      </w:tr>
      <w:tr w14:paraId="5E65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1DEA4F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w:t>
            </w:r>
          </w:p>
        </w:tc>
        <w:tc>
          <w:tcPr>
            <w:tcW w:w="1565" w:type="dxa"/>
            <w:tcBorders>
              <w:tl2br w:val="nil"/>
              <w:tr2bl w:val="nil"/>
            </w:tcBorders>
            <w:noWrap w:val="0"/>
            <w:vAlign w:val="center"/>
          </w:tcPr>
          <w:p w14:paraId="7A7F258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保安室</w:t>
            </w:r>
          </w:p>
        </w:tc>
        <w:tc>
          <w:tcPr>
            <w:tcW w:w="1083" w:type="dxa"/>
            <w:tcBorders>
              <w:tl2br w:val="nil"/>
              <w:tr2bl w:val="nil"/>
            </w:tcBorders>
            <w:noWrap w:val="0"/>
            <w:vAlign w:val="center"/>
          </w:tcPr>
          <w:p w14:paraId="6D5F46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79BFD2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7FCD98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1/0</w:t>
            </w:r>
          </w:p>
        </w:tc>
        <w:tc>
          <w:tcPr>
            <w:tcW w:w="1083" w:type="dxa"/>
            <w:tcBorders>
              <w:tl2br w:val="nil"/>
              <w:tr2bl w:val="nil"/>
            </w:tcBorders>
            <w:noWrap w:val="0"/>
            <w:vAlign w:val="center"/>
          </w:tcPr>
          <w:p w14:paraId="4467E8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3.00</w:t>
            </w:r>
          </w:p>
        </w:tc>
        <w:tc>
          <w:tcPr>
            <w:tcW w:w="1083" w:type="dxa"/>
            <w:tcBorders>
              <w:tl2br w:val="nil"/>
              <w:tr2bl w:val="nil"/>
            </w:tcBorders>
            <w:noWrap w:val="0"/>
            <w:vAlign w:val="center"/>
          </w:tcPr>
          <w:p w14:paraId="0077A2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68.60</w:t>
            </w:r>
          </w:p>
        </w:tc>
        <w:tc>
          <w:tcPr>
            <w:tcW w:w="1087" w:type="dxa"/>
            <w:tcBorders>
              <w:tl2br w:val="nil"/>
              <w:tr2bl w:val="nil"/>
            </w:tcBorders>
            <w:noWrap w:val="0"/>
            <w:vAlign w:val="center"/>
          </w:tcPr>
          <w:p w14:paraId="4A6778B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68.60</w:t>
            </w:r>
          </w:p>
        </w:tc>
      </w:tr>
      <w:tr w14:paraId="1D87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770390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w:t>
            </w:r>
          </w:p>
        </w:tc>
        <w:tc>
          <w:tcPr>
            <w:tcW w:w="1565" w:type="dxa"/>
            <w:tcBorders>
              <w:tl2br w:val="nil"/>
              <w:tr2bl w:val="nil"/>
            </w:tcBorders>
            <w:noWrap w:val="0"/>
            <w:vAlign w:val="center"/>
          </w:tcPr>
          <w:p w14:paraId="4B0E03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办公楼</w:t>
            </w:r>
          </w:p>
        </w:tc>
        <w:tc>
          <w:tcPr>
            <w:tcW w:w="1083" w:type="dxa"/>
            <w:tcBorders>
              <w:tl2br w:val="nil"/>
              <w:tr2bl w:val="nil"/>
            </w:tcBorders>
            <w:noWrap w:val="0"/>
            <w:vAlign w:val="center"/>
          </w:tcPr>
          <w:p w14:paraId="7C8DBE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7678C2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642DD2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7/0</w:t>
            </w:r>
          </w:p>
        </w:tc>
        <w:tc>
          <w:tcPr>
            <w:tcW w:w="1083" w:type="dxa"/>
            <w:tcBorders>
              <w:tl2br w:val="nil"/>
              <w:tr2bl w:val="nil"/>
            </w:tcBorders>
            <w:noWrap w:val="0"/>
            <w:vAlign w:val="center"/>
          </w:tcPr>
          <w:p w14:paraId="14ABC7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28.95</w:t>
            </w:r>
          </w:p>
        </w:tc>
        <w:tc>
          <w:tcPr>
            <w:tcW w:w="1083" w:type="dxa"/>
            <w:tcBorders>
              <w:tl2br w:val="nil"/>
              <w:tr2bl w:val="nil"/>
            </w:tcBorders>
            <w:noWrap w:val="0"/>
            <w:vAlign w:val="center"/>
          </w:tcPr>
          <w:p w14:paraId="4EB058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793.40</w:t>
            </w:r>
          </w:p>
        </w:tc>
        <w:tc>
          <w:tcPr>
            <w:tcW w:w="1087" w:type="dxa"/>
            <w:tcBorders>
              <w:tl2br w:val="nil"/>
              <w:tr2bl w:val="nil"/>
            </w:tcBorders>
            <w:noWrap w:val="0"/>
            <w:vAlign w:val="center"/>
          </w:tcPr>
          <w:p w14:paraId="381A74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4657.58</w:t>
            </w:r>
          </w:p>
        </w:tc>
      </w:tr>
      <w:tr w14:paraId="0523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428612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w:t>
            </w:r>
          </w:p>
        </w:tc>
        <w:tc>
          <w:tcPr>
            <w:tcW w:w="1565" w:type="dxa"/>
            <w:tcBorders>
              <w:tl2br w:val="nil"/>
              <w:tr2bl w:val="nil"/>
            </w:tcBorders>
            <w:noWrap w:val="0"/>
            <w:vAlign w:val="center"/>
          </w:tcPr>
          <w:p w14:paraId="0A812B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 宿舍楼</w:t>
            </w:r>
          </w:p>
        </w:tc>
        <w:tc>
          <w:tcPr>
            <w:tcW w:w="1083" w:type="dxa"/>
            <w:tcBorders>
              <w:tl2br w:val="nil"/>
              <w:tr2bl w:val="nil"/>
            </w:tcBorders>
            <w:noWrap w:val="0"/>
            <w:vAlign w:val="center"/>
          </w:tcPr>
          <w:p w14:paraId="556D38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46ACEF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4628CC0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6/0</w:t>
            </w:r>
          </w:p>
        </w:tc>
        <w:tc>
          <w:tcPr>
            <w:tcW w:w="1083" w:type="dxa"/>
            <w:tcBorders>
              <w:tl2br w:val="nil"/>
              <w:tr2bl w:val="nil"/>
            </w:tcBorders>
            <w:noWrap w:val="0"/>
            <w:vAlign w:val="center"/>
          </w:tcPr>
          <w:p w14:paraId="05ED379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21.60</w:t>
            </w:r>
          </w:p>
        </w:tc>
        <w:tc>
          <w:tcPr>
            <w:tcW w:w="1083" w:type="dxa"/>
            <w:tcBorders>
              <w:tl2br w:val="nil"/>
              <w:tr2bl w:val="nil"/>
            </w:tcBorders>
            <w:noWrap w:val="0"/>
            <w:vAlign w:val="center"/>
          </w:tcPr>
          <w:p w14:paraId="4AB175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638.60</w:t>
            </w:r>
          </w:p>
        </w:tc>
        <w:tc>
          <w:tcPr>
            <w:tcW w:w="1087" w:type="dxa"/>
            <w:tcBorders>
              <w:tl2br w:val="nil"/>
              <w:tr2bl w:val="nil"/>
            </w:tcBorders>
            <w:noWrap w:val="0"/>
            <w:vAlign w:val="center"/>
          </w:tcPr>
          <w:p w14:paraId="7D6B90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3662.38</w:t>
            </w:r>
          </w:p>
        </w:tc>
      </w:tr>
      <w:tr w14:paraId="306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087F3E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9</w:t>
            </w:r>
          </w:p>
        </w:tc>
        <w:tc>
          <w:tcPr>
            <w:tcW w:w="1565" w:type="dxa"/>
            <w:tcBorders>
              <w:tl2br w:val="nil"/>
              <w:tr2bl w:val="nil"/>
            </w:tcBorders>
            <w:noWrap w:val="0"/>
            <w:vAlign w:val="center"/>
          </w:tcPr>
          <w:p w14:paraId="4B22BB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 宿舍楼</w:t>
            </w:r>
          </w:p>
        </w:tc>
        <w:tc>
          <w:tcPr>
            <w:tcW w:w="1083" w:type="dxa"/>
            <w:tcBorders>
              <w:tl2br w:val="nil"/>
              <w:tr2bl w:val="nil"/>
            </w:tcBorders>
            <w:noWrap w:val="0"/>
            <w:vAlign w:val="center"/>
          </w:tcPr>
          <w:p w14:paraId="23FA38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4F32E2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293075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6/0</w:t>
            </w:r>
          </w:p>
        </w:tc>
        <w:tc>
          <w:tcPr>
            <w:tcW w:w="1083" w:type="dxa"/>
            <w:tcBorders>
              <w:tl2br w:val="nil"/>
              <w:tr2bl w:val="nil"/>
            </w:tcBorders>
            <w:noWrap w:val="0"/>
            <w:vAlign w:val="center"/>
          </w:tcPr>
          <w:p w14:paraId="5B011D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21.60</w:t>
            </w:r>
          </w:p>
        </w:tc>
        <w:tc>
          <w:tcPr>
            <w:tcW w:w="1083" w:type="dxa"/>
            <w:tcBorders>
              <w:tl2br w:val="nil"/>
              <w:tr2bl w:val="nil"/>
            </w:tcBorders>
            <w:noWrap w:val="0"/>
            <w:vAlign w:val="center"/>
          </w:tcPr>
          <w:p w14:paraId="4DB2E37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638.60</w:t>
            </w:r>
          </w:p>
        </w:tc>
        <w:tc>
          <w:tcPr>
            <w:tcW w:w="1087" w:type="dxa"/>
            <w:tcBorders>
              <w:tl2br w:val="nil"/>
              <w:tr2bl w:val="nil"/>
            </w:tcBorders>
            <w:noWrap w:val="0"/>
            <w:vAlign w:val="center"/>
          </w:tcPr>
          <w:p w14:paraId="799D1F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3662.38</w:t>
            </w:r>
          </w:p>
        </w:tc>
      </w:tr>
      <w:tr w14:paraId="1BD6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75A125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10</w:t>
            </w:r>
          </w:p>
        </w:tc>
        <w:tc>
          <w:tcPr>
            <w:tcW w:w="1565" w:type="dxa"/>
            <w:tcBorders>
              <w:tl2br w:val="nil"/>
              <w:tr2bl w:val="nil"/>
            </w:tcBorders>
            <w:noWrap w:val="0"/>
            <w:vAlign w:val="center"/>
          </w:tcPr>
          <w:p w14:paraId="7F54EB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 宿舍楼</w:t>
            </w:r>
          </w:p>
        </w:tc>
        <w:tc>
          <w:tcPr>
            <w:tcW w:w="1083" w:type="dxa"/>
            <w:tcBorders>
              <w:tl2br w:val="nil"/>
              <w:tr2bl w:val="nil"/>
            </w:tcBorders>
            <w:noWrap w:val="0"/>
            <w:vAlign w:val="center"/>
          </w:tcPr>
          <w:p w14:paraId="34596F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2910B3A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23AE0A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6/0</w:t>
            </w:r>
          </w:p>
        </w:tc>
        <w:tc>
          <w:tcPr>
            <w:tcW w:w="1083" w:type="dxa"/>
            <w:tcBorders>
              <w:tl2br w:val="nil"/>
              <w:tr2bl w:val="nil"/>
            </w:tcBorders>
            <w:noWrap w:val="0"/>
            <w:vAlign w:val="center"/>
          </w:tcPr>
          <w:p w14:paraId="7E234E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21.60</w:t>
            </w:r>
          </w:p>
        </w:tc>
        <w:tc>
          <w:tcPr>
            <w:tcW w:w="1083" w:type="dxa"/>
            <w:tcBorders>
              <w:tl2br w:val="nil"/>
              <w:tr2bl w:val="nil"/>
            </w:tcBorders>
            <w:noWrap w:val="0"/>
            <w:vAlign w:val="center"/>
          </w:tcPr>
          <w:p w14:paraId="4EB39D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638.60</w:t>
            </w:r>
          </w:p>
        </w:tc>
        <w:tc>
          <w:tcPr>
            <w:tcW w:w="1087" w:type="dxa"/>
            <w:tcBorders>
              <w:tl2br w:val="nil"/>
              <w:tr2bl w:val="nil"/>
            </w:tcBorders>
            <w:noWrap w:val="0"/>
            <w:vAlign w:val="center"/>
          </w:tcPr>
          <w:p w14:paraId="668E18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3662.38</w:t>
            </w:r>
          </w:p>
        </w:tc>
      </w:tr>
      <w:tr w14:paraId="26E0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27E7D0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11</w:t>
            </w:r>
          </w:p>
        </w:tc>
        <w:tc>
          <w:tcPr>
            <w:tcW w:w="1565" w:type="dxa"/>
            <w:tcBorders>
              <w:tl2br w:val="nil"/>
              <w:tr2bl w:val="nil"/>
            </w:tcBorders>
            <w:noWrap w:val="0"/>
            <w:vAlign w:val="center"/>
          </w:tcPr>
          <w:p w14:paraId="11390F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 宿舍楼</w:t>
            </w:r>
          </w:p>
        </w:tc>
        <w:tc>
          <w:tcPr>
            <w:tcW w:w="1083" w:type="dxa"/>
            <w:tcBorders>
              <w:tl2br w:val="nil"/>
              <w:tr2bl w:val="nil"/>
            </w:tcBorders>
            <w:noWrap w:val="0"/>
            <w:vAlign w:val="center"/>
          </w:tcPr>
          <w:p w14:paraId="3D34998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03B084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2B8541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6/0</w:t>
            </w:r>
          </w:p>
        </w:tc>
        <w:tc>
          <w:tcPr>
            <w:tcW w:w="1083" w:type="dxa"/>
            <w:tcBorders>
              <w:tl2br w:val="nil"/>
              <w:tr2bl w:val="nil"/>
            </w:tcBorders>
            <w:noWrap w:val="0"/>
            <w:vAlign w:val="center"/>
          </w:tcPr>
          <w:p w14:paraId="6C2DF70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21.60</w:t>
            </w:r>
          </w:p>
        </w:tc>
        <w:tc>
          <w:tcPr>
            <w:tcW w:w="1083" w:type="dxa"/>
            <w:tcBorders>
              <w:tl2br w:val="nil"/>
              <w:tr2bl w:val="nil"/>
            </w:tcBorders>
            <w:noWrap w:val="0"/>
            <w:vAlign w:val="center"/>
          </w:tcPr>
          <w:p w14:paraId="584B83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638.60</w:t>
            </w:r>
          </w:p>
        </w:tc>
        <w:tc>
          <w:tcPr>
            <w:tcW w:w="1087" w:type="dxa"/>
            <w:tcBorders>
              <w:tl2br w:val="nil"/>
              <w:tr2bl w:val="nil"/>
            </w:tcBorders>
            <w:noWrap w:val="0"/>
            <w:vAlign w:val="center"/>
          </w:tcPr>
          <w:p w14:paraId="3305C76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3662.38</w:t>
            </w:r>
          </w:p>
        </w:tc>
      </w:tr>
      <w:tr w14:paraId="2E90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2BAD4E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12</w:t>
            </w:r>
          </w:p>
        </w:tc>
        <w:tc>
          <w:tcPr>
            <w:tcW w:w="1565" w:type="dxa"/>
            <w:tcBorders>
              <w:tl2br w:val="nil"/>
              <w:tr2bl w:val="nil"/>
            </w:tcBorders>
            <w:noWrap w:val="0"/>
            <w:vAlign w:val="center"/>
          </w:tcPr>
          <w:p w14:paraId="27B814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1#3# 教学楼</w:t>
            </w:r>
          </w:p>
        </w:tc>
        <w:tc>
          <w:tcPr>
            <w:tcW w:w="1083" w:type="dxa"/>
            <w:tcBorders>
              <w:tl2br w:val="nil"/>
              <w:tr2bl w:val="nil"/>
            </w:tcBorders>
            <w:noWrap w:val="0"/>
            <w:vAlign w:val="center"/>
          </w:tcPr>
          <w:p w14:paraId="1DE8AB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4A6F1D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41DE04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5/0</w:t>
            </w:r>
          </w:p>
        </w:tc>
        <w:tc>
          <w:tcPr>
            <w:tcW w:w="1083" w:type="dxa"/>
            <w:tcBorders>
              <w:tl2br w:val="nil"/>
              <w:tr2bl w:val="nil"/>
            </w:tcBorders>
            <w:noWrap w:val="0"/>
            <w:vAlign w:val="center"/>
          </w:tcPr>
          <w:p w14:paraId="52A5C8A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20.55</w:t>
            </w:r>
          </w:p>
        </w:tc>
        <w:tc>
          <w:tcPr>
            <w:tcW w:w="1083" w:type="dxa"/>
            <w:tcBorders>
              <w:tl2br w:val="nil"/>
              <w:tr2bl w:val="nil"/>
            </w:tcBorders>
            <w:noWrap w:val="0"/>
            <w:vAlign w:val="center"/>
          </w:tcPr>
          <w:p w14:paraId="013192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1710.33</w:t>
            </w:r>
          </w:p>
        </w:tc>
        <w:tc>
          <w:tcPr>
            <w:tcW w:w="1087" w:type="dxa"/>
            <w:tcBorders>
              <w:tl2br w:val="nil"/>
              <w:tr2bl w:val="nil"/>
            </w:tcBorders>
            <w:noWrap w:val="0"/>
            <w:vAlign w:val="center"/>
          </w:tcPr>
          <w:p w14:paraId="362179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7821.78</w:t>
            </w:r>
          </w:p>
        </w:tc>
      </w:tr>
      <w:tr w14:paraId="5441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21AE16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13</w:t>
            </w:r>
          </w:p>
        </w:tc>
        <w:tc>
          <w:tcPr>
            <w:tcW w:w="1565" w:type="dxa"/>
            <w:tcBorders>
              <w:tl2br w:val="nil"/>
              <w:tr2bl w:val="nil"/>
            </w:tcBorders>
            <w:noWrap w:val="0"/>
            <w:vAlign w:val="center"/>
          </w:tcPr>
          <w:p w14:paraId="3E5D64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2#4# 教学楼</w:t>
            </w:r>
          </w:p>
        </w:tc>
        <w:tc>
          <w:tcPr>
            <w:tcW w:w="1083" w:type="dxa"/>
            <w:tcBorders>
              <w:tl2br w:val="nil"/>
              <w:tr2bl w:val="nil"/>
            </w:tcBorders>
            <w:noWrap w:val="0"/>
            <w:vAlign w:val="center"/>
          </w:tcPr>
          <w:p w14:paraId="7F3015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1200" w:type="dxa"/>
            <w:tcBorders>
              <w:tl2br w:val="nil"/>
              <w:tr2bl w:val="nil"/>
            </w:tcBorders>
            <w:noWrap w:val="0"/>
            <w:vAlign w:val="center"/>
          </w:tcPr>
          <w:p w14:paraId="0DD1CB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单、多层民用建筑</w:t>
            </w:r>
          </w:p>
        </w:tc>
        <w:tc>
          <w:tcPr>
            <w:tcW w:w="1686" w:type="dxa"/>
            <w:tcBorders>
              <w:tl2br w:val="nil"/>
              <w:tr2bl w:val="nil"/>
            </w:tcBorders>
            <w:noWrap w:val="0"/>
            <w:vAlign w:val="center"/>
          </w:tcPr>
          <w:p w14:paraId="5BC09D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5/0</w:t>
            </w:r>
          </w:p>
        </w:tc>
        <w:tc>
          <w:tcPr>
            <w:tcW w:w="1083" w:type="dxa"/>
            <w:tcBorders>
              <w:tl2br w:val="nil"/>
              <w:tr2bl w:val="nil"/>
            </w:tcBorders>
            <w:noWrap w:val="0"/>
            <w:vAlign w:val="center"/>
          </w:tcPr>
          <w:p w14:paraId="7319FF1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20.55</w:t>
            </w:r>
          </w:p>
        </w:tc>
        <w:tc>
          <w:tcPr>
            <w:tcW w:w="1083" w:type="dxa"/>
            <w:tcBorders>
              <w:tl2br w:val="nil"/>
              <w:tr2bl w:val="nil"/>
            </w:tcBorders>
            <w:noWrap w:val="0"/>
            <w:vAlign w:val="center"/>
          </w:tcPr>
          <w:p w14:paraId="543925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1710.33</w:t>
            </w:r>
          </w:p>
        </w:tc>
        <w:tc>
          <w:tcPr>
            <w:tcW w:w="1087" w:type="dxa"/>
            <w:tcBorders>
              <w:tl2br w:val="nil"/>
              <w:tr2bl w:val="nil"/>
            </w:tcBorders>
            <w:noWrap w:val="0"/>
            <w:vAlign w:val="center"/>
          </w:tcPr>
          <w:p w14:paraId="6DC498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7821.78</w:t>
            </w:r>
          </w:p>
        </w:tc>
      </w:tr>
      <w:tr w14:paraId="3A18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601" w:type="dxa"/>
            <w:tcBorders>
              <w:tl2br w:val="nil"/>
              <w:tr2bl w:val="nil"/>
            </w:tcBorders>
            <w:noWrap w:val="0"/>
            <w:vAlign w:val="center"/>
          </w:tcPr>
          <w:p w14:paraId="6732E4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合计</w:t>
            </w:r>
          </w:p>
        </w:tc>
        <w:tc>
          <w:tcPr>
            <w:tcW w:w="1565" w:type="dxa"/>
            <w:tcBorders>
              <w:tl2br w:val="nil"/>
              <w:tr2bl w:val="nil"/>
            </w:tcBorders>
            <w:noWrap w:val="0"/>
            <w:vAlign w:val="center"/>
          </w:tcPr>
          <w:p w14:paraId="49C352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一期全部建筑</w:t>
            </w:r>
          </w:p>
        </w:tc>
        <w:tc>
          <w:tcPr>
            <w:tcW w:w="1083" w:type="dxa"/>
            <w:tcBorders>
              <w:tl2br w:val="nil"/>
              <w:tr2bl w:val="nil"/>
            </w:tcBorders>
            <w:noWrap w:val="0"/>
            <w:vAlign w:val="center"/>
          </w:tcPr>
          <w:p w14:paraId="72A548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200" w:type="dxa"/>
            <w:tcBorders>
              <w:tl2br w:val="nil"/>
              <w:tr2bl w:val="nil"/>
            </w:tcBorders>
            <w:noWrap w:val="0"/>
            <w:vAlign w:val="center"/>
          </w:tcPr>
          <w:p w14:paraId="1D12E1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686" w:type="dxa"/>
            <w:tcBorders>
              <w:tl2br w:val="nil"/>
              <w:tr2bl w:val="nil"/>
            </w:tcBorders>
            <w:noWrap w:val="0"/>
            <w:vAlign w:val="center"/>
          </w:tcPr>
          <w:p w14:paraId="71657E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083" w:type="dxa"/>
            <w:tcBorders>
              <w:tl2br w:val="nil"/>
              <w:tr2bl w:val="nil"/>
            </w:tcBorders>
            <w:noWrap w:val="0"/>
            <w:vAlign w:val="center"/>
          </w:tcPr>
          <w:p w14:paraId="3A7B48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083" w:type="dxa"/>
            <w:tcBorders>
              <w:tl2br w:val="nil"/>
              <w:tr2bl w:val="nil"/>
            </w:tcBorders>
            <w:noWrap w:val="0"/>
            <w:vAlign w:val="center"/>
          </w:tcPr>
          <w:p w14:paraId="05F04C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087" w:type="dxa"/>
            <w:tcBorders>
              <w:tl2br w:val="nil"/>
              <w:tr2bl w:val="nil"/>
            </w:tcBorders>
            <w:noWrap w:val="0"/>
            <w:vAlign w:val="center"/>
          </w:tcPr>
          <w:p w14:paraId="3F9950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56225.96</w:t>
            </w:r>
          </w:p>
        </w:tc>
      </w:tr>
    </w:tbl>
    <w:p w14:paraId="09D222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（四）二期建筑单体明细（含地下室）</w:t>
      </w:r>
    </w:p>
    <w:p w14:paraId="689B2A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表格</w:t>
      </w:r>
    </w:p>
    <w:tbl>
      <w:tblPr>
        <w:tblStyle w:val="4"/>
        <w:tblW w:w="9687"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7"/>
        <w:gridCol w:w="1350"/>
        <w:gridCol w:w="1113"/>
        <w:gridCol w:w="720"/>
        <w:gridCol w:w="933"/>
        <w:gridCol w:w="840"/>
        <w:gridCol w:w="1033"/>
        <w:gridCol w:w="1117"/>
        <w:gridCol w:w="1033"/>
        <w:gridCol w:w="1201"/>
      </w:tblGrid>
      <w:tr w14:paraId="6BEC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blCellSpacing w:w="15" w:type="dxa"/>
          <w:jc w:val="center"/>
        </w:trPr>
        <w:tc>
          <w:tcPr>
            <w:tcW w:w="0" w:type="auto"/>
            <w:tcBorders>
              <w:tl2br w:val="nil"/>
              <w:tr2bl w:val="nil"/>
            </w:tcBorders>
            <w:noWrap w:val="0"/>
            <w:vAlign w:val="center"/>
          </w:tcPr>
          <w:p w14:paraId="2CE410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序号</w:t>
            </w:r>
          </w:p>
        </w:tc>
        <w:tc>
          <w:tcPr>
            <w:tcW w:w="1320" w:type="dxa"/>
            <w:tcBorders>
              <w:tl2br w:val="nil"/>
              <w:tr2bl w:val="nil"/>
            </w:tcBorders>
            <w:noWrap w:val="0"/>
            <w:vAlign w:val="center"/>
          </w:tcPr>
          <w:p w14:paraId="11F96B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建筑名称</w:t>
            </w:r>
          </w:p>
        </w:tc>
        <w:tc>
          <w:tcPr>
            <w:tcW w:w="1083" w:type="dxa"/>
            <w:tcBorders>
              <w:tl2br w:val="nil"/>
              <w:tr2bl w:val="nil"/>
            </w:tcBorders>
            <w:noWrap w:val="0"/>
            <w:vAlign w:val="center"/>
          </w:tcPr>
          <w:p w14:paraId="3F0099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使用性质</w:t>
            </w:r>
          </w:p>
        </w:tc>
        <w:tc>
          <w:tcPr>
            <w:tcW w:w="0" w:type="auto"/>
            <w:tcBorders>
              <w:tl2br w:val="nil"/>
              <w:tr2bl w:val="nil"/>
            </w:tcBorders>
            <w:noWrap w:val="0"/>
            <w:vAlign w:val="center"/>
          </w:tcPr>
          <w:p w14:paraId="4AB325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耐火等级</w:t>
            </w:r>
          </w:p>
        </w:tc>
        <w:tc>
          <w:tcPr>
            <w:tcW w:w="0" w:type="auto"/>
            <w:tcBorders>
              <w:tl2br w:val="nil"/>
              <w:tr2bl w:val="nil"/>
            </w:tcBorders>
            <w:noWrap w:val="0"/>
            <w:vAlign w:val="center"/>
          </w:tcPr>
          <w:p w14:paraId="6699895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层数</w:t>
            </w:r>
          </w:p>
          <w:p w14:paraId="03DBD0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（地上/地下）</w:t>
            </w:r>
          </w:p>
        </w:tc>
        <w:tc>
          <w:tcPr>
            <w:tcW w:w="0" w:type="auto"/>
            <w:tcBorders>
              <w:tl2br w:val="nil"/>
              <w:tr2bl w:val="nil"/>
            </w:tcBorders>
            <w:noWrap w:val="0"/>
            <w:vAlign w:val="center"/>
          </w:tcPr>
          <w:p w14:paraId="1A2771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建筑高度</w:t>
            </w:r>
          </w:p>
          <w:p w14:paraId="36D677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(m)</w:t>
            </w:r>
          </w:p>
        </w:tc>
        <w:tc>
          <w:tcPr>
            <w:tcW w:w="0" w:type="auto"/>
            <w:tcBorders>
              <w:tl2br w:val="nil"/>
              <w:tr2bl w:val="nil"/>
            </w:tcBorders>
            <w:noWrap w:val="0"/>
            <w:vAlign w:val="center"/>
          </w:tcPr>
          <w:p w14:paraId="68A754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占地面积</w:t>
            </w:r>
          </w:p>
          <w:p w14:paraId="58D83A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c>
          <w:tcPr>
            <w:tcW w:w="1087" w:type="dxa"/>
            <w:tcBorders>
              <w:tl2br w:val="nil"/>
              <w:tr2bl w:val="nil"/>
            </w:tcBorders>
            <w:noWrap w:val="0"/>
            <w:vAlign w:val="center"/>
          </w:tcPr>
          <w:p w14:paraId="24A8F0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地上面积</w:t>
            </w:r>
          </w:p>
          <w:p w14:paraId="360ACA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c>
          <w:tcPr>
            <w:tcW w:w="0" w:type="auto"/>
            <w:tcBorders>
              <w:tl2br w:val="nil"/>
              <w:tr2bl w:val="nil"/>
            </w:tcBorders>
            <w:noWrap w:val="0"/>
            <w:vAlign w:val="center"/>
          </w:tcPr>
          <w:p w14:paraId="59DF49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地下面积</w:t>
            </w:r>
          </w:p>
          <w:p w14:paraId="7AD109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c>
          <w:tcPr>
            <w:tcW w:w="1156" w:type="dxa"/>
            <w:tcBorders>
              <w:tl2br w:val="nil"/>
              <w:tr2bl w:val="nil"/>
            </w:tcBorders>
            <w:noWrap w:val="0"/>
            <w:vAlign w:val="center"/>
          </w:tcPr>
          <w:p w14:paraId="252B01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hAnsi="宋体" w:eastAsia="宋体" w:cs="宋体"/>
                <w:b/>
                <w:bCs/>
                <w:color w:val="auto"/>
                <w:kern w:val="0"/>
                <w:sz w:val="24"/>
                <w:szCs w:val="24"/>
                <w:lang w:val="en-US" w:eastAsia="zh-CN" w:bidi="ar"/>
              </w:rPr>
            </w:pPr>
            <w:r>
              <w:rPr>
                <w:rFonts w:ascii="宋体" w:hAnsi="宋体" w:eastAsia="宋体" w:cs="宋体"/>
                <w:b/>
                <w:bCs/>
                <w:color w:val="auto"/>
                <w:kern w:val="0"/>
                <w:sz w:val="24"/>
                <w:szCs w:val="24"/>
                <w:lang w:val="en-US" w:eastAsia="zh-CN" w:bidi="ar"/>
              </w:rPr>
              <w:t>单栋总建面</w:t>
            </w:r>
          </w:p>
          <w:p w14:paraId="778AE35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w:t>
            </w:r>
          </w:p>
        </w:tc>
      </w:tr>
      <w:tr w14:paraId="5097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2738011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w:t>
            </w:r>
          </w:p>
        </w:tc>
        <w:tc>
          <w:tcPr>
            <w:tcW w:w="1320" w:type="dxa"/>
            <w:tcBorders>
              <w:tl2br w:val="nil"/>
              <w:tr2bl w:val="nil"/>
            </w:tcBorders>
            <w:noWrap w:val="0"/>
            <w:vAlign w:val="center"/>
          </w:tcPr>
          <w:p w14:paraId="6FCB2D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教师宿舍</w:t>
            </w:r>
          </w:p>
        </w:tc>
        <w:tc>
          <w:tcPr>
            <w:tcW w:w="1083" w:type="dxa"/>
            <w:tcBorders>
              <w:tl2br w:val="nil"/>
              <w:tr2bl w:val="nil"/>
            </w:tcBorders>
            <w:noWrap w:val="0"/>
            <w:vAlign w:val="center"/>
          </w:tcPr>
          <w:p w14:paraId="62263E4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0D4A59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358486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8/1</w:t>
            </w:r>
          </w:p>
        </w:tc>
        <w:tc>
          <w:tcPr>
            <w:tcW w:w="0" w:type="auto"/>
            <w:tcBorders>
              <w:tl2br w:val="nil"/>
              <w:tr2bl w:val="nil"/>
            </w:tcBorders>
            <w:noWrap w:val="0"/>
            <w:vAlign w:val="center"/>
          </w:tcPr>
          <w:p w14:paraId="5E0E1D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23.50</w:t>
            </w:r>
          </w:p>
        </w:tc>
        <w:tc>
          <w:tcPr>
            <w:tcW w:w="0" w:type="auto"/>
            <w:tcBorders>
              <w:tl2br w:val="nil"/>
              <w:tr2bl w:val="nil"/>
            </w:tcBorders>
            <w:noWrap w:val="0"/>
            <w:vAlign w:val="center"/>
          </w:tcPr>
          <w:p w14:paraId="2C391A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2320.76</w:t>
            </w:r>
          </w:p>
        </w:tc>
        <w:tc>
          <w:tcPr>
            <w:tcW w:w="1087" w:type="dxa"/>
            <w:tcBorders>
              <w:tl2br w:val="nil"/>
              <w:tr2bl w:val="nil"/>
            </w:tcBorders>
            <w:noWrap w:val="0"/>
            <w:vAlign w:val="center"/>
          </w:tcPr>
          <w:p w14:paraId="56ECEE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16177.40</w:t>
            </w:r>
          </w:p>
        </w:tc>
        <w:tc>
          <w:tcPr>
            <w:tcW w:w="0" w:type="auto"/>
            <w:tcBorders>
              <w:tl2br w:val="nil"/>
              <w:tr2bl w:val="nil"/>
            </w:tcBorders>
            <w:noWrap w:val="0"/>
            <w:vAlign w:val="center"/>
          </w:tcPr>
          <w:p w14:paraId="62F35C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4008.39</w:t>
            </w:r>
          </w:p>
        </w:tc>
        <w:tc>
          <w:tcPr>
            <w:tcW w:w="1156" w:type="dxa"/>
            <w:tcBorders>
              <w:tl2br w:val="nil"/>
              <w:tr2bl w:val="nil"/>
            </w:tcBorders>
            <w:noWrap w:val="0"/>
            <w:vAlign w:val="center"/>
          </w:tcPr>
          <w:p w14:paraId="25D8D7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20185.79</w:t>
            </w:r>
          </w:p>
        </w:tc>
      </w:tr>
      <w:tr w14:paraId="2271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09A031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w:t>
            </w:r>
          </w:p>
        </w:tc>
        <w:tc>
          <w:tcPr>
            <w:tcW w:w="1320" w:type="dxa"/>
            <w:tcBorders>
              <w:tl2br w:val="nil"/>
              <w:tr2bl w:val="nil"/>
            </w:tcBorders>
            <w:noWrap w:val="0"/>
            <w:vAlign w:val="center"/>
          </w:tcPr>
          <w:p w14:paraId="66FF8A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文体中心</w:t>
            </w:r>
          </w:p>
        </w:tc>
        <w:tc>
          <w:tcPr>
            <w:tcW w:w="1083" w:type="dxa"/>
            <w:tcBorders>
              <w:tl2br w:val="nil"/>
              <w:tr2bl w:val="nil"/>
            </w:tcBorders>
            <w:noWrap w:val="0"/>
            <w:vAlign w:val="center"/>
          </w:tcPr>
          <w:p w14:paraId="2AC834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4BE37BB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615A35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4/1</w:t>
            </w:r>
          </w:p>
        </w:tc>
        <w:tc>
          <w:tcPr>
            <w:tcW w:w="0" w:type="auto"/>
            <w:tcBorders>
              <w:tl2br w:val="nil"/>
              <w:tr2bl w:val="nil"/>
            </w:tcBorders>
            <w:noWrap w:val="0"/>
            <w:vAlign w:val="center"/>
          </w:tcPr>
          <w:p w14:paraId="549E2A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23.30</w:t>
            </w:r>
          </w:p>
        </w:tc>
        <w:tc>
          <w:tcPr>
            <w:tcW w:w="0" w:type="auto"/>
            <w:tcBorders>
              <w:tl2br w:val="nil"/>
              <w:tr2bl w:val="nil"/>
            </w:tcBorders>
            <w:noWrap w:val="0"/>
            <w:vAlign w:val="center"/>
          </w:tcPr>
          <w:p w14:paraId="41F3CC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9063.20</w:t>
            </w:r>
          </w:p>
        </w:tc>
        <w:tc>
          <w:tcPr>
            <w:tcW w:w="1087" w:type="dxa"/>
            <w:tcBorders>
              <w:tl2br w:val="nil"/>
              <w:tr2bl w:val="nil"/>
            </w:tcBorders>
            <w:noWrap w:val="0"/>
            <w:vAlign w:val="center"/>
          </w:tcPr>
          <w:p w14:paraId="010C84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24470.29</w:t>
            </w:r>
          </w:p>
        </w:tc>
        <w:tc>
          <w:tcPr>
            <w:tcW w:w="0" w:type="auto"/>
            <w:tcBorders>
              <w:tl2br w:val="nil"/>
              <w:tr2bl w:val="nil"/>
            </w:tcBorders>
            <w:noWrap w:val="0"/>
            <w:vAlign w:val="center"/>
          </w:tcPr>
          <w:p w14:paraId="1FB814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1391.05</w:t>
            </w:r>
          </w:p>
        </w:tc>
        <w:tc>
          <w:tcPr>
            <w:tcW w:w="1156" w:type="dxa"/>
            <w:tcBorders>
              <w:tl2br w:val="nil"/>
              <w:tr2bl w:val="nil"/>
            </w:tcBorders>
            <w:noWrap w:val="0"/>
            <w:vAlign w:val="center"/>
          </w:tcPr>
          <w:p w14:paraId="365F11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25861.34</w:t>
            </w:r>
          </w:p>
        </w:tc>
      </w:tr>
      <w:tr w14:paraId="5999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5A649C2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w:t>
            </w:r>
          </w:p>
        </w:tc>
        <w:tc>
          <w:tcPr>
            <w:tcW w:w="1320" w:type="dxa"/>
            <w:tcBorders>
              <w:tl2br w:val="nil"/>
              <w:tr2bl w:val="nil"/>
            </w:tcBorders>
            <w:noWrap w:val="0"/>
            <w:vAlign w:val="center"/>
          </w:tcPr>
          <w:p w14:paraId="78B5B0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老房子重建</w:t>
            </w:r>
          </w:p>
        </w:tc>
        <w:tc>
          <w:tcPr>
            <w:tcW w:w="1083" w:type="dxa"/>
            <w:tcBorders>
              <w:tl2br w:val="nil"/>
              <w:tr2bl w:val="nil"/>
            </w:tcBorders>
            <w:noWrap w:val="0"/>
            <w:vAlign w:val="center"/>
          </w:tcPr>
          <w:p w14:paraId="21EE26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7A3056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48C0EB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1/0</w:t>
            </w:r>
          </w:p>
        </w:tc>
        <w:tc>
          <w:tcPr>
            <w:tcW w:w="0" w:type="auto"/>
            <w:tcBorders>
              <w:tl2br w:val="nil"/>
              <w:tr2bl w:val="nil"/>
            </w:tcBorders>
            <w:noWrap w:val="0"/>
            <w:vAlign w:val="center"/>
          </w:tcPr>
          <w:p w14:paraId="652B346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8.35</w:t>
            </w:r>
          </w:p>
        </w:tc>
        <w:tc>
          <w:tcPr>
            <w:tcW w:w="0" w:type="auto"/>
            <w:tcBorders>
              <w:tl2br w:val="nil"/>
              <w:tr2bl w:val="nil"/>
            </w:tcBorders>
            <w:noWrap w:val="0"/>
            <w:vAlign w:val="center"/>
          </w:tcPr>
          <w:p w14:paraId="35BE97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167.92</w:t>
            </w:r>
          </w:p>
        </w:tc>
        <w:tc>
          <w:tcPr>
            <w:tcW w:w="1087" w:type="dxa"/>
            <w:tcBorders>
              <w:tl2br w:val="nil"/>
              <w:tr2bl w:val="nil"/>
            </w:tcBorders>
            <w:noWrap w:val="0"/>
            <w:vAlign w:val="center"/>
          </w:tcPr>
          <w:p w14:paraId="0A635D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167.92</w:t>
            </w:r>
          </w:p>
        </w:tc>
        <w:tc>
          <w:tcPr>
            <w:tcW w:w="0" w:type="auto"/>
            <w:tcBorders>
              <w:tl2br w:val="nil"/>
              <w:tr2bl w:val="nil"/>
            </w:tcBorders>
            <w:noWrap w:val="0"/>
            <w:vAlign w:val="center"/>
          </w:tcPr>
          <w:p w14:paraId="4911D4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0</w:t>
            </w:r>
          </w:p>
        </w:tc>
        <w:tc>
          <w:tcPr>
            <w:tcW w:w="1156" w:type="dxa"/>
            <w:tcBorders>
              <w:tl2br w:val="nil"/>
              <w:tr2bl w:val="nil"/>
            </w:tcBorders>
            <w:noWrap w:val="0"/>
            <w:vAlign w:val="center"/>
          </w:tcPr>
          <w:p w14:paraId="1FDCFAE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167.92</w:t>
            </w:r>
          </w:p>
        </w:tc>
      </w:tr>
      <w:tr w14:paraId="5617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5DA057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w:t>
            </w:r>
          </w:p>
        </w:tc>
        <w:tc>
          <w:tcPr>
            <w:tcW w:w="1320" w:type="dxa"/>
            <w:tcBorders>
              <w:tl2br w:val="nil"/>
              <w:tr2bl w:val="nil"/>
            </w:tcBorders>
            <w:noWrap w:val="0"/>
            <w:vAlign w:val="center"/>
          </w:tcPr>
          <w:p w14:paraId="1070947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教学楼</w:t>
            </w:r>
          </w:p>
        </w:tc>
        <w:tc>
          <w:tcPr>
            <w:tcW w:w="1083" w:type="dxa"/>
            <w:tcBorders>
              <w:tl2br w:val="nil"/>
              <w:tr2bl w:val="nil"/>
            </w:tcBorders>
            <w:noWrap w:val="0"/>
            <w:vAlign w:val="center"/>
          </w:tcPr>
          <w:p w14:paraId="0CF7B5F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405809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39857F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4/0</w:t>
            </w:r>
          </w:p>
        </w:tc>
        <w:tc>
          <w:tcPr>
            <w:tcW w:w="0" w:type="auto"/>
            <w:tcBorders>
              <w:tl2br w:val="nil"/>
              <w:tr2bl w:val="nil"/>
            </w:tcBorders>
            <w:noWrap w:val="0"/>
            <w:vAlign w:val="center"/>
          </w:tcPr>
          <w:p w14:paraId="0589A8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18.00</w:t>
            </w:r>
          </w:p>
        </w:tc>
        <w:tc>
          <w:tcPr>
            <w:tcW w:w="0" w:type="auto"/>
            <w:tcBorders>
              <w:tl2br w:val="nil"/>
              <w:tr2bl w:val="nil"/>
            </w:tcBorders>
            <w:noWrap w:val="0"/>
            <w:vAlign w:val="center"/>
          </w:tcPr>
          <w:p w14:paraId="207786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1901.50</w:t>
            </w:r>
          </w:p>
        </w:tc>
        <w:tc>
          <w:tcPr>
            <w:tcW w:w="1087" w:type="dxa"/>
            <w:tcBorders>
              <w:tl2br w:val="nil"/>
              <w:tr2bl w:val="nil"/>
            </w:tcBorders>
            <w:noWrap w:val="0"/>
            <w:vAlign w:val="center"/>
          </w:tcPr>
          <w:p w14:paraId="6EFA6E7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8654.97</w:t>
            </w:r>
          </w:p>
        </w:tc>
        <w:tc>
          <w:tcPr>
            <w:tcW w:w="0" w:type="auto"/>
            <w:tcBorders>
              <w:tl2br w:val="nil"/>
              <w:tr2bl w:val="nil"/>
            </w:tcBorders>
            <w:noWrap w:val="0"/>
            <w:vAlign w:val="center"/>
          </w:tcPr>
          <w:p w14:paraId="17CA9E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0</w:t>
            </w:r>
          </w:p>
        </w:tc>
        <w:tc>
          <w:tcPr>
            <w:tcW w:w="1156" w:type="dxa"/>
            <w:tcBorders>
              <w:tl2br w:val="nil"/>
              <w:tr2bl w:val="nil"/>
            </w:tcBorders>
            <w:noWrap w:val="0"/>
            <w:vAlign w:val="center"/>
          </w:tcPr>
          <w:p w14:paraId="318F40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8654.97</w:t>
            </w:r>
          </w:p>
        </w:tc>
      </w:tr>
      <w:tr w14:paraId="25D4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247F36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w:t>
            </w:r>
          </w:p>
        </w:tc>
        <w:tc>
          <w:tcPr>
            <w:tcW w:w="1320" w:type="dxa"/>
            <w:tcBorders>
              <w:tl2br w:val="nil"/>
              <w:tr2bl w:val="nil"/>
            </w:tcBorders>
            <w:noWrap w:val="0"/>
            <w:vAlign w:val="center"/>
          </w:tcPr>
          <w:p w14:paraId="4AB29B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食堂宿舍</w:t>
            </w:r>
          </w:p>
        </w:tc>
        <w:tc>
          <w:tcPr>
            <w:tcW w:w="1083" w:type="dxa"/>
            <w:tcBorders>
              <w:tl2br w:val="nil"/>
              <w:tr2bl w:val="nil"/>
            </w:tcBorders>
            <w:noWrap w:val="0"/>
            <w:vAlign w:val="center"/>
          </w:tcPr>
          <w:p w14:paraId="655EA4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007688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7EAA76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3/0</w:t>
            </w:r>
          </w:p>
        </w:tc>
        <w:tc>
          <w:tcPr>
            <w:tcW w:w="0" w:type="auto"/>
            <w:tcBorders>
              <w:tl2br w:val="nil"/>
              <w:tr2bl w:val="nil"/>
            </w:tcBorders>
            <w:noWrap w:val="0"/>
            <w:vAlign w:val="center"/>
          </w:tcPr>
          <w:p w14:paraId="3D6D8BD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12.30</w:t>
            </w:r>
          </w:p>
        </w:tc>
        <w:tc>
          <w:tcPr>
            <w:tcW w:w="0" w:type="auto"/>
            <w:tcBorders>
              <w:tl2br w:val="nil"/>
              <w:tr2bl w:val="nil"/>
            </w:tcBorders>
            <w:noWrap w:val="0"/>
            <w:vAlign w:val="center"/>
          </w:tcPr>
          <w:p w14:paraId="4C96471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3648.39</w:t>
            </w:r>
          </w:p>
        </w:tc>
        <w:tc>
          <w:tcPr>
            <w:tcW w:w="1087" w:type="dxa"/>
            <w:tcBorders>
              <w:tl2br w:val="nil"/>
              <w:tr2bl w:val="nil"/>
            </w:tcBorders>
            <w:noWrap w:val="0"/>
            <w:vAlign w:val="center"/>
          </w:tcPr>
          <w:p w14:paraId="56D0551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7501.59</w:t>
            </w:r>
          </w:p>
        </w:tc>
        <w:tc>
          <w:tcPr>
            <w:tcW w:w="0" w:type="auto"/>
            <w:tcBorders>
              <w:tl2br w:val="nil"/>
              <w:tr2bl w:val="nil"/>
            </w:tcBorders>
            <w:noWrap w:val="0"/>
            <w:vAlign w:val="center"/>
          </w:tcPr>
          <w:p w14:paraId="40E87C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0</w:t>
            </w:r>
          </w:p>
        </w:tc>
        <w:tc>
          <w:tcPr>
            <w:tcW w:w="1156" w:type="dxa"/>
            <w:tcBorders>
              <w:tl2br w:val="nil"/>
              <w:tr2bl w:val="nil"/>
            </w:tcBorders>
            <w:noWrap w:val="0"/>
            <w:vAlign w:val="center"/>
          </w:tcPr>
          <w:p w14:paraId="16EB58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7501.59</w:t>
            </w:r>
          </w:p>
        </w:tc>
      </w:tr>
      <w:tr w14:paraId="242E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223970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w:t>
            </w:r>
          </w:p>
        </w:tc>
        <w:tc>
          <w:tcPr>
            <w:tcW w:w="1320" w:type="dxa"/>
            <w:tcBorders>
              <w:tl2br w:val="nil"/>
              <w:tr2bl w:val="nil"/>
            </w:tcBorders>
            <w:noWrap w:val="0"/>
            <w:vAlign w:val="center"/>
          </w:tcPr>
          <w:p w14:paraId="0C2D8F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学生宿舍</w:t>
            </w:r>
          </w:p>
        </w:tc>
        <w:tc>
          <w:tcPr>
            <w:tcW w:w="1083" w:type="dxa"/>
            <w:tcBorders>
              <w:tl2br w:val="nil"/>
              <w:tr2bl w:val="nil"/>
            </w:tcBorders>
            <w:noWrap w:val="0"/>
            <w:vAlign w:val="center"/>
          </w:tcPr>
          <w:p w14:paraId="158C28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公共建筑</w:t>
            </w:r>
          </w:p>
        </w:tc>
        <w:tc>
          <w:tcPr>
            <w:tcW w:w="0" w:type="auto"/>
            <w:tcBorders>
              <w:tl2br w:val="nil"/>
              <w:tr2bl w:val="nil"/>
            </w:tcBorders>
            <w:noWrap w:val="0"/>
            <w:vAlign w:val="center"/>
          </w:tcPr>
          <w:p w14:paraId="74E70A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二级</w:t>
            </w:r>
          </w:p>
        </w:tc>
        <w:tc>
          <w:tcPr>
            <w:tcW w:w="0" w:type="auto"/>
            <w:tcBorders>
              <w:tl2br w:val="nil"/>
              <w:tr2bl w:val="nil"/>
            </w:tcBorders>
            <w:noWrap w:val="0"/>
            <w:vAlign w:val="center"/>
          </w:tcPr>
          <w:p w14:paraId="207813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5/0</w:t>
            </w:r>
          </w:p>
        </w:tc>
        <w:tc>
          <w:tcPr>
            <w:tcW w:w="0" w:type="auto"/>
            <w:tcBorders>
              <w:tl2br w:val="nil"/>
              <w:tr2bl w:val="nil"/>
            </w:tcBorders>
            <w:noWrap w:val="0"/>
            <w:vAlign w:val="center"/>
          </w:tcPr>
          <w:p w14:paraId="2DC2AB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18.30</w:t>
            </w:r>
          </w:p>
        </w:tc>
        <w:tc>
          <w:tcPr>
            <w:tcW w:w="0" w:type="auto"/>
            <w:tcBorders>
              <w:tl2br w:val="nil"/>
              <w:tr2bl w:val="nil"/>
            </w:tcBorders>
            <w:noWrap w:val="0"/>
            <w:vAlign w:val="center"/>
          </w:tcPr>
          <w:p w14:paraId="28C6AD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2313.82</w:t>
            </w:r>
          </w:p>
        </w:tc>
        <w:tc>
          <w:tcPr>
            <w:tcW w:w="1087" w:type="dxa"/>
            <w:tcBorders>
              <w:tl2br w:val="nil"/>
              <w:tr2bl w:val="nil"/>
            </w:tcBorders>
            <w:noWrap w:val="0"/>
            <w:vAlign w:val="center"/>
          </w:tcPr>
          <w:p w14:paraId="1E527D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10021.64</w:t>
            </w:r>
          </w:p>
        </w:tc>
        <w:tc>
          <w:tcPr>
            <w:tcW w:w="0" w:type="auto"/>
            <w:tcBorders>
              <w:tl2br w:val="nil"/>
              <w:tr2bl w:val="nil"/>
            </w:tcBorders>
            <w:noWrap w:val="0"/>
            <w:vAlign w:val="center"/>
          </w:tcPr>
          <w:p w14:paraId="027EC0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0</w:t>
            </w:r>
          </w:p>
        </w:tc>
        <w:tc>
          <w:tcPr>
            <w:tcW w:w="1156" w:type="dxa"/>
            <w:tcBorders>
              <w:tl2br w:val="nil"/>
              <w:tr2bl w:val="nil"/>
            </w:tcBorders>
            <w:noWrap w:val="0"/>
            <w:vAlign w:val="center"/>
          </w:tcPr>
          <w:p w14:paraId="53E67B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10021.64</w:t>
            </w:r>
          </w:p>
        </w:tc>
      </w:tr>
      <w:tr w14:paraId="5C65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302" w:type="dxa"/>
            <w:tcBorders>
              <w:tl2br w:val="nil"/>
              <w:tr2bl w:val="nil"/>
            </w:tcBorders>
            <w:noWrap w:val="0"/>
            <w:vAlign w:val="center"/>
          </w:tcPr>
          <w:p w14:paraId="782000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合计</w:t>
            </w:r>
          </w:p>
        </w:tc>
        <w:tc>
          <w:tcPr>
            <w:tcW w:w="1320" w:type="dxa"/>
            <w:tcBorders>
              <w:tl2br w:val="nil"/>
              <w:tr2bl w:val="nil"/>
            </w:tcBorders>
            <w:noWrap w:val="0"/>
            <w:vAlign w:val="center"/>
          </w:tcPr>
          <w:p w14:paraId="190AE4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二期全部建筑</w:t>
            </w:r>
          </w:p>
        </w:tc>
        <w:tc>
          <w:tcPr>
            <w:tcW w:w="1083" w:type="dxa"/>
            <w:tcBorders>
              <w:tl2br w:val="nil"/>
              <w:tr2bl w:val="nil"/>
            </w:tcBorders>
            <w:noWrap w:val="0"/>
            <w:vAlign w:val="center"/>
          </w:tcPr>
          <w:p w14:paraId="34F0A86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690" w:type="dxa"/>
            <w:tcBorders>
              <w:tl2br w:val="nil"/>
              <w:tr2bl w:val="nil"/>
            </w:tcBorders>
            <w:noWrap w:val="0"/>
            <w:vAlign w:val="center"/>
          </w:tcPr>
          <w:p w14:paraId="02EC68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903" w:type="dxa"/>
            <w:tcBorders>
              <w:tl2br w:val="nil"/>
              <w:tr2bl w:val="nil"/>
            </w:tcBorders>
            <w:noWrap w:val="0"/>
            <w:vAlign w:val="center"/>
          </w:tcPr>
          <w:p w14:paraId="1DB075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810" w:type="dxa"/>
            <w:tcBorders>
              <w:tl2br w:val="nil"/>
              <w:tr2bl w:val="nil"/>
            </w:tcBorders>
            <w:noWrap w:val="0"/>
            <w:vAlign w:val="center"/>
          </w:tcPr>
          <w:p w14:paraId="50160B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003" w:type="dxa"/>
            <w:tcBorders>
              <w:tl2br w:val="nil"/>
              <w:tr2bl w:val="nil"/>
            </w:tcBorders>
            <w:noWrap w:val="0"/>
            <w:vAlign w:val="center"/>
          </w:tcPr>
          <w:p w14:paraId="6897B9E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w:t>
            </w:r>
          </w:p>
        </w:tc>
        <w:tc>
          <w:tcPr>
            <w:tcW w:w="1087" w:type="dxa"/>
            <w:tcBorders>
              <w:tl2br w:val="nil"/>
              <w:tr2bl w:val="nil"/>
            </w:tcBorders>
            <w:noWrap w:val="0"/>
            <w:vAlign w:val="center"/>
          </w:tcPr>
          <w:p w14:paraId="527369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66993.81</w:t>
            </w:r>
          </w:p>
        </w:tc>
        <w:tc>
          <w:tcPr>
            <w:tcW w:w="1003" w:type="dxa"/>
            <w:tcBorders>
              <w:tl2br w:val="nil"/>
              <w:tr2bl w:val="nil"/>
            </w:tcBorders>
            <w:noWrap w:val="0"/>
            <w:vAlign w:val="center"/>
          </w:tcPr>
          <w:p w14:paraId="76DC42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5399.44</w:t>
            </w:r>
          </w:p>
        </w:tc>
        <w:tc>
          <w:tcPr>
            <w:tcW w:w="1156" w:type="dxa"/>
            <w:tcBorders>
              <w:tl2br w:val="nil"/>
              <w:tr2bl w:val="nil"/>
            </w:tcBorders>
            <w:noWrap w:val="0"/>
            <w:vAlign w:val="center"/>
          </w:tcPr>
          <w:p w14:paraId="075160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72393.25</w:t>
            </w:r>
          </w:p>
        </w:tc>
      </w:tr>
    </w:tbl>
    <w:p w14:paraId="349B95E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auto"/>
          <w:sz w:val="24"/>
          <w:szCs w:val="24"/>
        </w:rPr>
      </w:pPr>
      <w:r>
        <w:rPr>
          <w:color w:val="auto"/>
          <w:sz w:val="24"/>
          <w:szCs w:val="24"/>
        </w:rPr>
        <w:t>（五）一、二期建筑面积汇总表</w:t>
      </w:r>
    </w:p>
    <w:p w14:paraId="401646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szCs w:val="24"/>
        </w:rPr>
      </w:pPr>
      <w:r>
        <w:rPr>
          <w:rFonts w:ascii="宋体" w:hAnsi="宋体" w:eastAsia="宋体" w:cs="宋体"/>
          <w:color w:val="auto"/>
          <w:kern w:val="0"/>
          <w:sz w:val="24"/>
          <w:szCs w:val="24"/>
          <w:lang w:val="en-US" w:eastAsia="zh-CN" w:bidi="ar"/>
        </w:rPr>
        <w:t>表格</w:t>
      </w:r>
    </w:p>
    <w:tbl>
      <w:tblPr>
        <w:tblStyle w:val="4"/>
        <w:tblW w:w="8363"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6"/>
        <w:gridCol w:w="2296"/>
        <w:gridCol w:w="2296"/>
        <w:gridCol w:w="2595"/>
      </w:tblGrid>
      <w:tr w14:paraId="5F00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tblCellSpacing w:w="15" w:type="dxa"/>
          <w:jc w:val="center"/>
        </w:trPr>
        <w:tc>
          <w:tcPr>
            <w:tcW w:w="0" w:type="auto"/>
            <w:tcBorders>
              <w:tl2br w:val="nil"/>
              <w:tr2bl w:val="nil"/>
            </w:tcBorders>
            <w:noWrap w:val="0"/>
            <w:vAlign w:val="center"/>
          </w:tcPr>
          <w:p w14:paraId="4A9CFB8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分区</w:t>
            </w:r>
          </w:p>
        </w:tc>
        <w:tc>
          <w:tcPr>
            <w:tcW w:w="0" w:type="auto"/>
            <w:tcBorders>
              <w:tl2br w:val="nil"/>
              <w:tr2bl w:val="nil"/>
            </w:tcBorders>
            <w:noWrap w:val="0"/>
            <w:vAlign w:val="center"/>
          </w:tcPr>
          <w:p w14:paraId="0262D02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地上建筑面积(㎡)</w:t>
            </w:r>
          </w:p>
        </w:tc>
        <w:tc>
          <w:tcPr>
            <w:tcW w:w="0" w:type="auto"/>
            <w:tcBorders>
              <w:tl2br w:val="nil"/>
              <w:tr2bl w:val="nil"/>
            </w:tcBorders>
            <w:noWrap w:val="0"/>
            <w:vAlign w:val="center"/>
          </w:tcPr>
          <w:p w14:paraId="512D3B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地下建筑面积(㎡)</w:t>
            </w:r>
          </w:p>
        </w:tc>
        <w:tc>
          <w:tcPr>
            <w:tcW w:w="2550" w:type="dxa"/>
            <w:tcBorders>
              <w:tl2br w:val="nil"/>
              <w:tr2bl w:val="nil"/>
            </w:tcBorders>
            <w:noWrap w:val="0"/>
            <w:vAlign w:val="center"/>
          </w:tcPr>
          <w:p w14:paraId="7A16E38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bCs/>
                <w:color w:val="auto"/>
                <w:sz w:val="24"/>
                <w:szCs w:val="24"/>
              </w:rPr>
            </w:pPr>
            <w:r>
              <w:rPr>
                <w:rFonts w:ascii="宋体" w:hAnsi="宋体" w:eastAsia="宋体" w:cs="宋体"/>
                <w:b/>
                <w:bCs/>
                <w:color w:val="auto"/>
                <w:kern w:val="0"/>
                <w:sz w:val="24"/>
                <w:szCs w:val="24"/>
                <w:lang w:val="en-US" w:eastAsia="zh-CN" w:bidi="ar"/>
              </w:rPr>
              <w:t>分区总建筑面积(㎡)</w:t>
            </w:r>
          </w:p>
        </w:tc>
      </w:tr>
      <w:tr w14:paraId="4328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1279832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一期</w:t>
            </w:r>
          </w:p>
        </w:tc>
        <w:tc>
          <w:tcPr>
            <w:tcW w:w="0" w:type="auto"/>
            <w:tcBorders>
              <w:tl2br w:val="nil"/>
              <w:tr2bl w:val="nil"/>
            </w:tcBorders>
            <w:noWrap w:val="0"/>
            <w:vAlign w:val="center"/>
          </w:tcPr>
          <w:p w14:paraId="5E6B5B0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56225.96</w:t>
            </w:r>
          </w:p>
        </w:tc>
        <w:tc>
          <w:tcPr>
            <w:tcW w:w="0" w:type="auto"/>
            <w:tcBorders>
              <w:tl2br w:val="nil"/>
              <w:tr2bl w:val="nil"/>
            </w:tcBorders>
            <w:noWrap w:val="0"/>
            <w:vAlign w:val="center"/>
          </w:tcPr>
          <w:p w14:paraId="5C2CD7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0</w:t>
            </w:r>
          </w:p>
        </w:tc>
        <w:tc>
          <w:tcPr>
            <w:tcW w:w="2550" w:type="dxa"/>
            <w:tcBorders>
              <w:tl2br w:val="nil"/>
              <w:tr2bl w:val="nil"/>
            </w:tcBorders>
            <w:noWrap w:val="0"/>
            <w:vAlign w:val="center"/>
          </w:tcPr>
          <w:p w14:paraId="4A77297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56225.96</w:t>
            </w:r>
          </w:p>
        </w:tc>
      </w:tr>
      <w:tr w14:paraId="426B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0" w:type="auto"/>
            <w:tcBorders>
              <w:tl2br w:val="nil"/>
              <w:tr2bl w:val="nil"/>
            </w:tcBorders>
            <w:noWrap w:val="0"/>
            <w:vAlign w:val="center"/>
          </w:tcPr>
          <w:p w14:paraId="3C6B42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二期</w:t>
            </w:r>
          </w:p>
        </w:tc>
        <w:tc>
          <w:tcPr>
            <w:tcW w:w="0" w:type="auto"/>
            <w:tcBorders>
              <w:tl2br w:val="nil"/>
              <w:tr2bl w:val="nil"/>
            </w:tcBorders>
            <w:noWrap w:val="0"/>
            <w:vAlign w:val="center"/>
          </w:tcPr>
          <w:p w14:paraId="5013A1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66993.81</w:t>
            </w:r>
          </w:p>
        </w:tc>
        <w:tc>
          <w:tcPr>
            <w:tcW w:w="0" w:type="auto"/>
            <w:tcBorders>
              <w:tl2br w:val="nil"/>
              <w:tr2bl w:val="nil"/>
            </w:tcBorders>
            <w:noWrap w:val="0"/>
            <w:vAlign w:val="center"/>
          </w:tcPr>
          <w:p w14:paraId="0790FB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5399.44</w:t>
            </w:r>
          </w:p>
        </w:tc>
        <w:tc>
          <w:tcPr>
            <w:tcW w:w="2550" w:type="dxa"/>
            <w:tcBorders>
              <w:tl2br w:val="nil"/>
              <w:tr2bl w:val="nil"/>
            </w:tcBorders>
            <w:noWrap w:val="0"/>
            <w:vAlign w:val="center"/>
          </w:tcPr>
          <w:p w14:paraId="4DD8D5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color w:val="auto"/>
                <w:sz w:val="24"/>
                <w:szCs w:val="24"/>
              </w:rPr>
            </w:pPr>
            <w:r>
              <w:rPr>
                <w:rFonts w:ascii="宋体" w:hAnsi="宋体" w:eastAsia="宋体" w:cs="宋体"/>
                <w:color w:val="auto"/>
                <w:kern w:val="0"/>
                <w:sz w:val="24"/>
                <w:szCs w:val="24"/>
                <w:lang w:val="en-US" w:eastAsia="zh-CN" w:bidi="ar"/>
              </w:rPr>
              <w:t>72393.25</w:t>
            </w:r>
          </w:p>
        </w:tc>
      </w:tr>
      <w:tr w14:paraId="43BF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CellSpacing w:w="15" w:type="dxa"/>
          <w:jc w:val="center"/>
        </w:trPr>
        <w:tc>
          <w:tcPr>
            <w:tcW w:w="1131" w:type="dxa"/>
            <w:tcBorders>
              <w:tl2br w:val="nil"/>
              <w:tr2bl w:val="nil"/>
            </w:tcBorders>
            <w:noWrap w:val="0"/>
            <w:vAlign w:val="center"/>
          </w:tcPr>
          <w:p w14:paraId="41A386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全校合计</w:t>
            </w:r>
          </w:p>
        </w:tc>
        <w:tc>
          <w:tcPr>
            <w:tcW w:w="2266" w:type="dxa"/>
            <w:tcBorders>
              <w:tl2br w:val="nil"/>
              <w:tr2bl w:val="nil"/>
            </w:tcBorders>
            <w:noWrap w:val="0"/>
            <w:vAlign w:val="center"/>
          </w:tcPr>
          <w:p w14:paraId="0C58B9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123219.77</w:t>
            </w:r>
          </w:p>
        </w:tc>
        <w:tc>
          <w:tcPr>
            <w:tcW w:w="2266" w:type="dxa"/>
            <w:tcBorders>
              <w:tl2br w:val="nil"/>
              <w:tr2bl w:val="nil"/>
            </w:tcBorders>
            <w:noWrap w:val="0"/>
            <w:vAlign w:val="center"/>
          </w:tcPr>
          <w:p w14:paraId="16B67D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5399.44</w:t>
            </w:r>
          </w:p>
        </w:tc>
        <w:tc>
          <w:tcPr>
            <w:tcW w:w="2550" w:type="dxa"/>
            <w:tcBorders>
              <w:tl2br w:val="nil"/>
              <w:tr2bl w:val="nil"/>
            </w:tcBorders>
            <w:noWrap w:val="0"/>
            <w:vAlign w:val="center"/>
          </w:tcPr>
          <w:p w14:paraId="5A3799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ascii="宋体" w:eastAsia="宋体"/>
                <w:b/>
                <w:color w:val="auto"/>
                <w:sz w:val="24"/>
                <w:szCs w:val="24"/>
              </w:rPr>
            </w:pPr>
            <w:r>
              <w:rPr>
                <w:rFonts w:ascii="宋体" w:hAnsi="宋体" w:eastAsia="宋体" w:cs="宋体"/>
                <w:b/>
                <w:color w:val="auto"/>
                <w:kern w:val="0"/>
                <w:sz w:val="24"/>
                <w:szCs w:val="24"/>
                <w:lang w:val="en-US" w:eastAsia="zh-CN" w:bidi="ar"/>
              </w:rPr>
              <w:t>128619.21</w:t>
            </w:r>
          </w:p>
        </w:tc>
      </w:tr>
    </w:tbl>
    <w:p w14:paraId="3B1A47D2">
      <w:pPr>
        <w:keepNext w:val="0"/>
        <w:keepLines w:val="0"/>
        <w:widowControl/>
        <w:suppressLineNumbers w:val="0"/>
        <w:spacing w:line="288" w:lineRule="auto"/>
        <w:jc w:val="left"/>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cs="宋体"/>
          <w:b/>
          <w:bCs/>
          <w:i w:val="0"/>
          <w:iCs w:val="0"/>
          <w:color w:val="auto"/>
          <w:kern w:val="0"/>
          <w:sz w:val="24"/>
          <w:szCs w:val="24"/>
          <w:highlight w:val="none"/>
          <w:lang w:val="en-US" w:eastAsia="zh-CN" w:bidi="ar"/>
        </w:rPr>
        <w:t>二、</w:t>
      </w:r>
      <w:r>
        <w:rPr>
          <w:rFonts w:hint="eastAsia" w:ascii="宋体" w:hAnsi="宋体" w:eastAsia="宋体" w:cs="宋体"/>
          <w:b/>
          <w:bCs/>
          <w:i w:val="0"/>
          <w:iCs w:val="0"/>
          <w:color w:val="auto"/>
          <w:kern w:val="0"/>
          <w:sz w:val="24"/>
          <w:szCs w:val="24"/>
          <w:highlight w:val="none"/>
          <w:lang w:val="en-US" w:eastAsia="zh-CN" w:bidi="ar"/>
        </w:rPr>
        <w:t>维保范围</w:t>
      </w:r>
    </w:p>
    <w:p w14:paraId="56D290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1.火灾自动报警及联动控制系统：烟感探测器、温感探测器、声光警报器、手动报警按钮、消防主机、联动控制柜等；</w:t>
      </w:r>
    </w:p>
    <w:p w14:paraId="427DFB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2.室内外消火栓给水系统：室内消火栓、室外水泵接合器、消防水池、屋顶消防水箱、消火栓泵、喷淋泵、稳压泵；</w:t>
      </w:r>
    </w:p>
    <w:p w14:paraId="0C07A6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3.自动喷水灭火系统：教学楼、宿舍、食堂、地下室全域湿式喷淋管网、喷头、信号阀、水流指示器；</w:t>
      </w:r>
    </w:p>
    <w:p w14:paraId="3F8167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4.防排烟系统：地下室排烟风机、楼梯间加压送风机、防火阀、排烟防火阀、排烟口、送风口；</w:t>
      </w:r>
    </w:p>
    <w:p w14:paraId="1653AA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5.防火分隔设施：防火卷帘、常闭式防火门、挡烟垂壁；</w:t>
      </w:r>
    </w:p>
    <w:p w14:paraId="353CB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6.消防应急照明与疏散指示系统、消防电梯联动控制装置；</w:t>
      </w:r>
    </w:p>
    <w:p w14:paraId="0A369A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7.移动式灭火器材：干粉灭火器、消防沙箱、消防桶等；</w:t>
      </w:r>
    </w:p>
    <w:p w14:paraId="1D7D22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8.消防控制室配套设备、室外消防管网、阀门井、泄压装置；</w:t>
      </w:r>
    </w:p>
    <w:p w14:paraId="73C161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9.年度建筑消防设施全面检测，出具符合海南省消防救援机构备案标准的正式检测报告；</w:t>
      </w:r>
    </w:p>
    <w:p w14:paraId="657058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标准化消防档案建立、月度校内消防安全培训、故障 4 小时到场应急处置。</w:t>
      </w:r>
    </w:p>
    <w:p w14:paraId="57FC8E7F">
      <w:pPr>
        <w:keepNext w:val="0"/>
        <w:keepLines w:val="0"/>
        <w:widowControl/>
        <w:suppressLineNumbers w:val="0"/>
        <w:spacing w:line="288" w:lineRule="auto"/>
        <w:jc w:val="left"/>
        <w:rPr>
          <w:rFonts w:hint="eastAsia" w:ascii="宋体" w:hAnsi="宋体" w:eastAsia="宋体" w:cs="宋体"/>
          <w:b/>
          <w:bCs/>
          <w:i w:val="0"/>
          <w:iCs w:val="0"/>
          <w:color w:val="auto"/>
          <w:kern w:val="0"/>
          <w:sz w:val="24"/>
          <w:szCs w:val="24"/>
          <w:highlight w:val="none"/>
          <w:lang w:val="en-US" w:eastAsia="zh-CN" w:bidi="ar"/>
        </w:rPr>
      </w:pPr>
      <w:bookmarkStart w:id="0" w:name="_Toc136012686"/>
      <w:r>
        <w:rPr>
          <w:rFonts w:hint="eastAsia" w:ascii="宋体" w:hAnsi="宋体" w:cs="宋体"/>
          <w:b/>
          <w:bCs/>
          <w:i w:val="0"/>
          <w:iCs w:val="0"/>
          <w:color w:val="auto"/>
          <w:kern w:val="0"/>
          <w:sz w:val="24"/>
          <w:szCs w:val="24"/>
          <w:highlight w:val="none"/>
          <w:lang w:val="en-US" w:eastAsia="zh-CN" w:bidi="ar"/>
        </w:rPr>
        <w:t>三、</w:t>
      </w:r>
      <w:r>
        <w:rPr>
          <w:rFonts w:hint="eastAsia" w:ascii="宋体" w:hAnsi="宋体" w:eastAsia="宋体" w:cs="宋体"/>
          <w:b/>
          <w:bCs/>
          <w:i w:val="0"/>
          <w:iCs w:val="0"/>
          <w:color w:val="auto"/>
          <w:kern w:val="0"/>
          <w:sz w:val="24"/>
          <w:szCs w:val="24"/>
          <w:highlight w:val="none"/>
          <w:lang w:val="en-US" w:eastAsia="zh-CN" w:bidi="ar"/>
        </w:rPr>
        <w:t>维保方式</w:t>
      </w:r>
      <w:bookmarkEnd w:id="0"/>
    </w:p>
    <w:p w14:paraId="087346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提供专业技术人员驻场服务（每周2天），专业技术人员需履行下述工作要求。</w:t>
      </w:r>
    </w:p>
    <w:p w14:paraId="1C3273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一）应符合《学校消防安全管理规定》《海南省消防条例》《火灾自动报警系统施工与验收规范》《自动喷水灭火系统施工与验收规范》《消火栓给水系统施工与验收规范》，以及其他相关的消防法规、规范和技术要求。</w:t>
      </w:r>
    </w:p>
    <w:p w14:paraId="3DEE3F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二）维护保养应符合</w:t>
      </w:r>
    </w:p>
    <w:p w14:paraId="5AD808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定期检测——对相关消防设施的重点功能性内容进行专业测试及检查，并提交相应的检测报告。合同期内的每个月将提供消防设施常规性检查服务以达到及早发现隐患并及时处理，减少故障、延长设备使用年限的目的；同时将对消防设施做专业保养。</w:t>
      </w:r>
    </w:p>
    <w:p w14:paraId="259780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2.日常巡检——每个月对消防设施进行巡检，对水泵等重点设施每月进行测试。对巡检设备的运行情况及时记录，并由我院安全保卫部进行确认。</w:t>
      </w:r>
    </w:p>
    <w:p w14:paraId="026490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3.维修改善——在消防系统出现故障的情况下，在得到我院通知后，维护方应及时到达现场，对故障进行排除，如不能修复，则有义务向我院说明，并提供相应的改善服务。</w:t>
      </w:r>
    </w:p>
    <w:p w14:paraId="1D1B0B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4.安全管理——提供消防法规的咨询服务，协助我院建立健全相关规章制度和制定消防应急预案；组织全校性消防演习。</w:t>
      </w:r>
    </w:p>
    <w:p w14:paraId="2D9BF9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5.专业培训——提供消防专业培训，包括生命安全和初期火灾的扑救和逃生；消防专业人员的系统管理。</w:t>
      </w:r>
    </w:p>
    <w:p w14:paraId="05FFED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三）维护保养内容及周期</w:t>
      </w:r>
    </w:p>
    <w:p w14:paraId="704932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bookmarkStart w:id="1" w:name="_Toc512003172"/>
      <w:r>
        <w:rPr>
          <w:rFonts w:hint="eastAsia" w:ascii="宋体" w:hAnsi="宋体" w:eastAsia="宋体" w:cs="宋体"/>
          <w:color w:val="auto"/>
          <w:kern w:val="0"/>
          <w:sz w:val="24"/>
          <w:szCs w:val="24"/>
          <w:lang w:val="en-US" w:eastAsia="zh-CN" w:bidi="ar"/>
        </w:rPr>
        <w:t>1.维护保养内容</w:t>
      </w:r>
      <w:bookmarkEnd w:id="1"/>
    </w:p>
    <w:p w14:paraId="5D9F7D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消防系统检测：根据《中华人民共和国消防法》要求，每年须对消防设施进行全面检测，维保单位需提供一套有效消防系统检测报告报当地消防主管部门备案。检测费用包含在维保合同价格中，使用单位不再另行支付费用。</w:t>
      </w:r>
    </w:p>
    <w:p w14:paraId="76902A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（2）消防设施设备维护：根据消防法的要求，对消防设施进行检查并协助安全保卫部建立规范的防火档案，以备检查。</w:t>
      </w:r>
    </w:p>
    <w:p w14:paraId="0F82C4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3）消防设施设备更换：安排人员及时更换未保持完好有效的消防水带、灭火器、灭火器换液、消防疏散标志、消防应急灯、烟温感探测器、消防报警按钮（手报、消报）、灭火器箱等（材料费使用单位另行支付）。 </w:t>
      </w:r>
    </w:p>
    <w:p w14:paraId="2D149C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（4）火灾自动报警系统的保养：火灾报警控制器日常运行情况检查；烟感、温感探测器、手动报警按钮、输入模块的日常维护保养工作；对不合格探测器及时更换，确保整个系统无消防盲区。</w:t>
      </w:r>
    </w:p>
    <w:p w14:paraId="179D4F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联动系统维保：测试警铃、排烟风机、正压风机、强切、空调、防火卷帘消防设备控制模块等联动是否动作；消防电梯迫降功能是否正常；应急广播系统控制模块联动是否正常；相应消防泵、喷淋泵是否能联动动作。</w:t>
      </w:r>
    </w:p>
    <w:p w14:paraId="36E818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（6）水喷淋系统的保养：水喷淋泵、水喷淋自动控制柜、闸阀、止回阀、蝶阀、橡胶软接头、湿式报警阀、喷头、水流指示器、水泵接合器等日常保养维护工作；喷淋泵漏水处理。</w:t>
      </w:r>
    </w:p>
    <w:p w14:paraId="59D15F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室内消火栓系统的保养：消火栓泵、消火栓自动控制柜、闸阀、止回阀、蝶阀、减压阀、室内消火栓箱（包括玻璃、消火栓按钮、水带、水枪）、消火栓水泵接合器等的日常保养维护工作；室内消火栓放水试验；消防泵漏水处理。</w:t>
      </w:r>
    </w:p>
    <w:p w14:paraId="1628EF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（8）室外消火栓的保养：室外消火栓日常保养、维护工作，室外消火栓放水试验。</w:t>
      </w:r>
    </w:p>
    <w:p w14:paraId="0C8898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（9）消防应急广播系统的保养维护扬声器、消防公放的保养、维护，确保背景音乐与消防公放切换正常。</w:t>
      </w:r>
    </w:p>
    <w:p w14:paraId="545DB9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（10）应急照明和疏散指示系统的维修、保养和检测。</w:t>
      </w:r>
    </w:p>
    <w:p w14:paraId="229BF8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（11）气体灭火系统定期维护保养测试。</w:t>
      </w:r>
    </w:p>
    <w:p w14:paraId="53ED92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bookmarkStart w:id="2" w:name="_Toc512003173"/>
      <w:r>
        <w:rPr>
          <w:rFonts w:hint="eastAsia" w:ascii="宋体" w:hAnsi="宋体" w:eastAsia="宋体" w:cs="宋体"/>
          <w:color w:val="auto"/>
          <w:kern w:val="0"/>
          <w:sz w:val="24"/>
          <w:szCs w:val="24"/>
          <w:lang w:val="en-US" w:eastAsia="zh-CN" w:bidi="ar"/>
        </w:rPr>
        <w:t>（12）人工费除隐蔽工程（含开挖回填、更换维修阀门管道）、应急抢修、重新布线、大型设备更换维修之外，不再另行支付人工费，包含在维保费内，维修费用最终以审计价格为准。</w:t>
      </w:r>
    </w:p>
    <w:p w14:paraId="6EFF11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（13）维保单位应根据要求对校内所有消防设施设备（包含质保期内设施设备）进行检查维护，质保期内设备维护维修费由原施工质保单位承担。</w:t>
      </w:r>
    </w:p>
    <w:p w14:paraId="0D0D1E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14）维保单位在提供维护保养服务后，应当制作包含消防技术服务机构名称及项目负责人、维护保养服务期限及联系电话等信息的标识，在消防设施所在建筑的消防控制室、自动消防设施设备用房等场所的醒目位置上予以公示。</w:t>
      </w:r>
    </w:p>
    <w:p w14:paraId="6BDCA3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lang w:val="en-US" w:eastAsia="zh-CN" w:bidi="ar"/>
        </w:rPr>
        <w:t>2.消防设施定期维护周期</w:t>
      </w:r>
      <w:bookmarkEnd w:id="2"/>
    </w:p>
    <w:tbl>
      <w:tblPr>
        <w:tblStyle w:val="4"/>
        <w:tblW w:w="5000" w:type="pct"/>
        <w:tblInd w:w="0" w:type="dxa"/>
        <w:tblLayout w:type="autofit"/>
        <w:tblCellMar>
          <w:top w:w="0" w:type="dxa"/>
          <w:left w:w="108" w:type="dxa"/>
          <w:bottom w:w="0" w:type="dxa"/>
          <w:right w:w="108" w:type="dxa"/>
        </w:tblCellMar>
      </w:tblPr>
      <w:tblGrid>
        <w:gridCol w:w="1498"/>
        <w:gridCol w:w="4505"/>
        <w:gridCol w:w="2519"/>
      </w:tblGrid>
      <w:tr w14:paraId="43F9A684">
        <w:tblPrEx>
          <w:tblCellMar>
            <w:top w:w="0" w:type="dxa"/>
            <w:left w:w="108" w:type="dxa"/>
            <w:bottom w:w="0" w:type="dxa"/>
            <w:right w:w="108" w:type="dxa"/>
          </w:tblCellMar>
        </w:tblPrEx>
        <w:trPr>
          <w:trHeight w:val="356" w:hRule="atLeast"/>
        </w:trPr>
        <w:tc>
          <w:tcPr>
            <w:tcW w:w="879" w:type="pct"/>
            <w:tcBorders>
              <w:top w:val="single" w:color="auto" w:sz="4" w:space="0"/>
              <w:left w:val="single" w:color="auto" w:sz="4" w:space="0"/>
              <w:bottom w:val="single" w:color="auto" w:sz="4" w:space="0"/>
              <w:right w:val="single" w:color="auto" w:sz="4" w:space="0"/>
            </w:tcBorders>
            <w:noWrap w:val="0"/>
            <w:vAlign w:val="center"/>
          </w:tcPr>
          <w:p w14:paraId="42CBE963">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系   统</w:t>
            </w:r>
          </w:p>
        </w:tc>
        <w:tc>
          <w:tcPr>
            <w:tcW w:w="2643" w:type="pct"/>
            <w:tcBorders>
              <w:top w:val="single" w:color="auto" w:sz="4" w:space="0"/>
              <w:left w:val="nil"/>
              <w:bottom w:val="single" w:color="auto" w:sz="4" w:space="0"/>
              <w:right w:val="single" w:color="auto" w:sz="4" w:space="0"/>
            </w:tcBorders>
            <w:noWrap w:val="0"/>
            <w:vAlign w:val="center"/>
          </w:tcPr>
          <w:p w14:paraId="096C9DC7">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检 测 内 容</w:t>
            </w:r>
          </w:p>
        </w:tc>
        <w:tc>
          <w:tcPr>
            <w:tcW w:w="1478" w:type="pct"/>
            <w:tcBorders>
              <w:top w:val="single" w:color="auto" w:sz="4" w:space="0"/>
              <w:left w:val="nil"/>
              <w:bottom w:val="single" w:color="auto" w:sz="4" w:space="0"/>
              <w:right w:val="single" w:color="auto" w:sz="4" w:space="0"/>
            </w:tcBorders>
            <w:noWrap w:val="0"/>
            <w:vAlign w:val="center"/>
          </w:tcPr>
          <w:p w14:paraId="316A2B71">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周    期</w:t>
            </w:r>
          </w:p>
        </w:tc>
      </w:tr>
      <w:tr w14:paraId="30B94158">
        <w:tblPrEx>
          <w:tblCellMar>
            <w:top w:w="0" w:type="dxa"/>
            <w:left w:w="108" w:type="dxa"/>
            <w:bottom w:w="0" w:type="dxa"/>
            <w:right w:w="108" w:type="dxa"/>
          </w:tblCellMar>
        </w:tblPrEx>
        <w:trPr>
          <w:trHeight w:val="356" w:hRule="atLeast"/>
        </w:trPr>
        <w:tc>
          <w:tcPr>
            <w:tcW w:w="879" w:type="pct"/>
            <w:vMerge w:val="restart"/>
            <w:tcBorders>
              <w:top w:val="nil"/>
              <w:left w:val="single" w:color="auto" w:sz="4" w:space="0"/>
              <w:right w:val="single" w:color="auto" w:sz="4" w:space="0"/>
            </w:tcBorders>
            <w:noWrap w:val="0"/>
            <w:textDirection w:val="tbRlV"/>
            <w:vAlign w:val="center"/>
          </w:tcPr>
          <w:p w14:paraId="0F6A98E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消防供电</w:t>
            </w:r>
          </w:p>
        </w:tc>
        <w:tc>
          <w:tcPr>
            <w:tcW w:w="2643" w:type="pct"/>
            <w:tcBorders>
              <w:top w:val="nil"/>
              <w:left w:val="nil"/>
              <w:bottom w:val="single" w:color="auto" w:sz="4" w:space="0"/>
              <w:right w:val="single" w:color="auto" w:sz="4" w:space="0"/>
            </w:tcBorders>
            <w:noWrap w:val="0"/>
            <w:vAlign w:val="center"/>
          </w:tcPr>
          <w:p w14:paraId="2E0F8F5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关闭相关电源，查看电源盘显示</w:t>
            </w:r>
          </w:p>
        </w:tc>
        <w:tc>
          <w:tcPr>
            <w:tcW w:w="1478" w:type="pct"/>
            <w:tcBorders>
              <w:top w:val="nil"/>
              <w:left w:val="nil"/>
              <w:bottom w:val="single" w:color="auto" w:sz="4" w:space="0"/>
              <w:right w:val="single" w:color="auto" w:sz="4" w:space="0"/>
            </w:tcBorders>
            <w:noWrap w:val="0"/>
            <w:vAlign w:val="center"/>
          </w:tcPr>
          <w:p w14:paraId="49E523E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35CDDBD6">
        <w:tblPrEx>
          <w:tblCellMar>
            <w:top w:w="0" w:type="dxa"/>
            <w:left w:w="108" w:type="dxa"/>
            <w:bottom w:w="0" w:type="dxa"/>
            <w:right w:w="108" w:type="dxa"/>
          </w:tblCellMar>
        </w:tblPrEx>
        <w:trPr>
          <w:trHeight w:val="356" w:hRule="atLeast"/>
        </w:trPr>
        <w:tc>
          <w:tcPr>
            <w:tcW w:w="879" w:type="pct"/>
            <w:vMerge w:val="continue"/>
            <w:tcBorders>
              <w:left w:val="single" w:color="auto" w:sz="4" w:space="0"/>
              <w:right w:val="single" w:color="auto" w:sz="4" w:space="0"/>
            </w:tcBorders>
            <w:noWrap w:val="0"/>
            <w:vAlign w:val="center"/>
          </w:tcPr>
          <w:p w14:paraId="228CE8F9">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7FB6900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备用电源欠压报警功能</w:t>
            </w:r>
          </w:p>
        </w:tc>
        <w:tc>
          <w:tcPr>
            <w:tcW w:w="1478" w:type="pct"/>
            <w:tcBorders>
              <w:top w:val="nil"/>
              <w:left w:val="nil"/>
              <w:bottom w:val="single" w:color="auto" w:sz="4" w:space="0"/>
              <w:right w:val="single" w:color="auto" w:sz="4" w:space="0"/>
            </w:tcBorders>
            <w:noWrap w:val="0"/>
            <w:vAlign w:val="center"/>
          </w:tcPr>
          <w:p w14:paraId="5392618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3D205AB7">
        <w:tblPrEx>
          <w:tblCellMar>
            <w:top w:w="0" w:type="dxa"/>
            <w:left w:w="108" w:type="dxa"/>
            <w:bottom w:w="0" w:type="dxa"/>
            <w:right w:w="108" w:type="dxa"/>
          </w:tblCellMar>
        </w:tblPrEx>
        <w:trPr>
          <w:trHeight w:val="356" w:hRule="atLeast"/>
        </w:trPr>
        <w:tc>
          <w:tcPr>
            <w:tcW w:w="879" w:type="pct"/>
            <w:vMerge w:val="continue"/>
            <w:tcBorders>
              <w:left w:val="single" w:color="auto" w:sz="4" w:space="0"/>
              <w:right w:val="single" w:color="auto" w:sz="4" w:space="0"/>
            </w:tcBorders>
            <w:noWrap w:val="0"/>
            <w:vAlign w:val="center"/>
          </w:tcPr>
          <w:p w14:paraId="088A29E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6D4A5D2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消防供配电</w:t>
            </w:r>
          </w:p>
        </w:tc>
        <w:tc>
          <w:tcPr>
            <w:tcW w:w="1478" w:type="pct"/>
            <w:tcBorders>
              <w:top w:val="nil"/>
              <w:left w:val="nil"/>
              <w:bottom w:val="single" w:color="auto" w:sz="4" w:space="0"/>
              <w:right w:val="single" w:color="auto" w:sz="4" w:space="0"/>
            </w:tcBorders>
            <w:noWrap w:val="0"/>
            <w:vAlign w:val="center"/>
          </w:tcPr>
          <w:p w14:paraId="3C9B9EC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一年一次</w:t>
            </w:r>
          </w:p>
        </w:tc>
      </w:tr>
      <w:tr w14:paraId="35BE079F">
        <w:tblPrEx>
          <w:tblCellMar>
            <w:top w:w="0" w:type="dxa"/>
            <w:left w:w="108" w:type="dxa"/>
            <w:bottom w:w="0" w:type="dxa"/>
            <w:right w:w="108" w:type="dxa"/>
          </w:tblCellMar>
        </w:tblPrEx>
        <w:trPr>
          <w:trHeight w:val="356" w:hRule="atLeast"/>
        </w:trPr>
        <w:tc>
          <w:tcPr>
            <w:tcW w:w="879" w:type="pct"/>
            <w:vMerge w:val="continue"/>
            <w:tcBorders>
              <w:left w:val="single" w:color="auto" w:sz="4" w:space="0"/>
              <w:right w:val="single" w:color="auto" w:sz="4" w:space="0"/>
            </w:tcBorders>
            <w:noWrap w:val="0"/>
            <w:vAlign w:val="center"/>
          </w:tcPr>
          <w:p w14:paraId="1C29B33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1060728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测试主、备电切换功能</w:t>
            </w:r>
          </w:p>
        </w:tc>
        <w:tc>
          <w:tcPr>
            <w:tcW w:w="1478" w:type="pct"/>
            <w:tcBorders>
              <w:top w:val="nil"/>
              <w:left w:val="nil"/>
              <w:bottom w:val="single" w:color="auto" w:sz="4" w:space="0"/>
              <w:right w:val="single" w:color="auto" w:sz="4" w:space="0"/>
            </w:tcBorders>
            <w:noWrap w:val="0"/>
            <w:vAlign w:val="center"/>
          </w:tcPr>
          <w:p w14:paraId="6C2358F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433DAEBA">
        <w:tblPrEx>
          <w:tblCellMar>
            <w:top w:w="0" w:type="dxa"/>
            <w:left w:w="108" w:type="dxa"/>
            <w:bottom w:w="0" w:type="dxa"/>
            <w:right w:w="108" w:type="dxa"/>
          </w:tblCellMar>
        </w:tblPrEx>
        <w:trPr>
          <w:trHeight w:val="356" w:hRule="atLeast"/>
        </w:trPr>
        <w:tc>
          <w:tcPr>
            <w:tcW w:w="879" w:type="pct"/>
            <w:vMerge w:val="continue"/>
            <w:tcBorders>
              <w:left w:val="single" w:color="auto" w:sz="4" w:space="0"/>
              <w:right w:val="single" w:color="auto" w:sz="4" w:space="0"/>
            </w:tcBorders>
            <w:noWrap w:val="0"/>
            <w:vAlign w:val="center"/>
          </w:tcPr>
          <w:p w14:paraId="13BCEA8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D2B6E3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测试非消防用电切换功能</w:t>
            </w:r>
          </w:p>
        </w:tc>
        <w:tc>
          <w:tcPr>
            <w:tcW w:w="1478" w:type="pct"/>
            <w:tcBorders>
              <w:top w:val="nil"/>
              <w:left w:val="nil"/>
              <w:bottom w:val="single" w:color="auto" w:sz="4" w:space="0"/>
              <w:right w:val="single" w:color="auto" w:sz="4" w:space="0"/>
            </w:tcBorders>
            <w:noWrap w:val="0"/>
            <w:vAlign w:val="center"/>
          </w:tcPr>
          <w:p w14:paraId="35ECAF9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65D3564A">
        <w:tblPrEx>
          <w:tblCellMar>
            <w:top w:w="0" w:type="dxa"/>
            <w:left w:w="108" w:type="dxa"/>
            <w:bottom w:w="0" w:type="dxa"/>
            <w:right w:w="108" w:type="dxa"/>
          </w:tblCellMar>
        </w:tblPrEx>
        <w:trPr>
          <w:trHeight w:val="356" w:hRule="atLeast"/>
        </w:trPr>
        <w:tc>
          <w:tcPr>
            <w:tcW w:w="879" w:type="pct"/>
            <w:vMerge w:val="continue"/>
            <w:tcBorders>
              <w:left w:val="single" w:color="auto" w:sz="4" w:space="0"/>
              <w:bottom w:val="single" w:color="auto" w:sz="4" w:space="0"/>
              <w:right w:val="single" w:color="auto" w:sz="4" w:space="0"/>
            </w:tcBorders>
            <w:noWrap w:val="0"/>
            <w:vAlign w:val="center"/>
          </w:tcPr>
          <w:p w14:paraId="53B266C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22EA00E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备用电源是否完好</w:t>
            </w:r>
          </w:p>
        </w:tc>
        <w:tc>
          <w:tcPr>
            <w:tcW w:w="1478" w:type="pct"/>
            <w:tcBorders>
              <w:top w:val="nil"/>
              <w:left w:val="nil"/>
              <w:bottom w:val="single" w:color="auto" w:sz="4" w:space="0"/>
              <w:right w:val="single" w:color="auto" w:sz="4" w:space="0"/>
            </w:tcBorders>
            <w:noWrap w:val="0"/>
            <w:vAlign w:val="center"/>
          </w:tcPr>
          <w:p w14:paraId="0C11B16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45A3C81C">
        <w:tblPrEx>
          <w:tblCellMar>
            <w:top w:w="0" w:type="dxa"/>
            <w:left w:w="108" w:type="dxa"/>
            <w:bottom w:w="0" w:type="dxa"/>
            <w:right w:w="108" w:type="dxa"/>
          </w:tblCellMar>
        </w:tblPrEx>
        <w:trPr>
          <w:trHeight w:val="356" w:hRule="atLeast"/>
        </w:trPr>
        <w:tc>
          <w:tcPr>
            <w:tcW w:w="879" w:type="pct"/>
            <w:vMerge w:val="restart"/>
            <w:tcBorders>
              <w:top w:val="nil"/>
              <w:left w:val="single" w:color="auto" w:sz="4" w:space="0"/>
              <w:bottom w:val="single" w:color="auto" w:sz="4" w:space="0"/>
              <w:right w:val="single" w:color="auto" w:sz="4" w:space="0"/>
            </w:tcBorders>
            <w:noWrap w:val="0"/>
            <w:textDirection w:val="tbRlV"/>
            <w:vAlign w:val="center"/>
          </w:tcPr>
          <w:p w14:paraId="74582D2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火灾报警系统</w:t>
            </w:r>
          </w:p>
        </w:tc>
        <w:tc>
          <w:tcPr>
            <w:tcW w:w="2643" w:type="pct"/>
            <w:tcBorders>
              <w:top w:val="nil"/>
              <w:left w:val="nil"/>
              <w:bottom w:val="single" w:color="auto" w:sz="4" w:space="0"/>
              <w:right w:val="single" w:color="auto" w:sz="4" w:space="0"/>
            </w:tcBorders>
            <w:noWrap w:val="0"/>
            <w:vAlign w:val="center"/>
          </w:tcPr>
          <w:p w14:paraId="464E10A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测试各类探测器报警功能</w:t>
            </w:r>
          </w:p>
        </w:tc>
        <w:tc>
          <w:tcPr>
            <w:tcW w:w="1478" w:type="pct"/>
            <w:tcBorders>
              <w:top w:val="nil"/>
              <w:left w:val="nil"/>
              <w:bottom w:val="single" w:color="auto" w:sz="4" w:space="0"/>
              <w:right w:val="single" w:color="auto" w:sz="4" w:space="0"/>
            </w:tcBorders>
            <w:noWrap w:val="0"/>
            <w:vAlign w:val="center"/>
          </w:tcPr>
          <w:p w14:paraId="6F4CDC0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094F299C">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6B33848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6026DFD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测试手动报警、消火栓报警按钮功能</w:t>
            </w:r>
          </w:p>
        </w:tc>
        <w:tc>
          <w:tcPr>
            <w:tcW w:w="1478" w:type="pct"/>
            <w:tcBorders>
              <w:top w:val="nil"/>
              <w:left w:val="nil"/>
              <w:bottom w:val="single" w:color="auto" w:sz="4" w:space="0"/>
              <w:right w:val="single" w:color="auto" w:sz="4" w:space="0"/>
            </w:tcBorders>
            <w:noWrap w:val="0"/>
            <w:vAlign w:val="center"/>
          </w:tcPr>
          <w:p w14:paraId="55ACFCE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3010D882">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1C2F12D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3091F1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测试控制器火灾报警功能</w:t>
            </w:r>
          </w:p>
        </w:tc>
        <w:tc>
          <w:tcPr>
            <w:tcW w:w="1478" w:type="pct"/>
            <w:tcBorders>
              <w:top w:val="nil"/>
              <w:left w:val="nil"/>
              <w:bottom w:val="single" w:color="auto" w:sz="4" w:space="0"/>
              <w:right w:val="single" w:color="auto" w:sz="4" w:space="0"/>
            </w:tcBorders>
            <w:noWrap w:val="0"/>
            <w:vAlign w:val="center"/>
          </w:tcPr>
          <w:p w14:paraId="1EF2506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2B0796E7">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1940AD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102F8D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测试控制器故障报警功能</w:t>
            </w:r>
          </w:p>
        </w:tc>
        <w:tc>
          <w:tcPr>
            <w:tcW w:w="1478" w:type="pct"/>
            <w:tcBorders>
              <w:top w:val="nil"/>
              <w:left w:val="nil"/>
              <w:bottom w:val="single" w:color="auto" w:sz="4" w:space="0"/>
              <w:right w:val="single" w:color="auto" w:sz="4" w:space="0"/>
            </w:tcBorders>
            <w:noWrap w:val="0"/>
            <w:vAlign w:val="center"/>
          </w:tcPr>
          <w:p w14:paraId="4D525EF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4DCEB068">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4B6E9DE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2B9A363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测试控制器火灾报警优先功能</w:t>
            </w:r>
          </w:p>
        </w:tc>
        <w:tc>
          <w:tcPr>
            <w:tcW w:w="1478" w:type="pct"/>
            <w:tcBorders>
              <w:top w:val="nil"/>
              <w:left w:val="nil"/>
              <w:bottom w:val="single" w:color="auto" w:sz="4" w:space="0"/>
              <w:right w:val="single" w:color="auto" w:sz="4" w:space="0"/>
            </w:tcBorders>
            <w:noWrap w:val="0"/>
            <w:vAlign w:val="center"/>
          </w:tcPr>
          <w:p w14:paraId="450792AE">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2551A85">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0CDE3E0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0FDDE45E">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测试控制器自检功能</w:t>
            </w:r>
          </w:p>
        </w:tc>
        <w:tc>
          <w:tcPr>
            <w:tcW w:w="1478" w:type="pct"/>
            <w:tcBorders>
              <w:top w:val="nil"/>
              <w:left w:val="nil"/>
              <w:bottom w:val="single" w:color="auto" w:sz="4" w:space="0"/>
              <w:right w:val="single" w:color="auto" w:sz="4" w:space="0"/>
            </w:tcBorders>
            <w:noWrap w:val="0"/>
            <w:vAlign w:val="center"/>
          </w:tcPr>
          <w:p w14:paraId="77C63A9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4B01FA55">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CC4D01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2CA25759">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测试控制器联动（自动）控制和显示功能</w:t>
            </w:r>
          </w:p>
        </w:tc>
        <w:tc>
          <w:tcPr>
            <w:tcW w:w="1478" w:type="pct"/>
            <w:tcBorders>
              <w:top w:val="nil"/>
              <w:left w:val="nil"/>
              <w:bottom w:val="single" w:color="auto" w:sz="4" w:space="0"/>
              <w:right w:val="single" w:color="auto" w:sz="4" w:space="0"/>
            </w:tcBorders>
            <w:noWrap w:val="0"/>
            <w:vAlign w:val="center"/>
          </w:tcPr>
          <w:p w14:paraId="1A2A974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4A5857E3">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3C7C597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1944D57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测试控制器消音、复位功能</w:t>
            </w:r>
          </w:p>
        </w:tc>
        <w:tc>
          <w:tcPr>
            <w:tcW w:w="1478" w:type="pct"/>
            <w:tcBorders>
              <w:top w:val="nil"/>
              <w:left w:val="nil"/>
              <w:bottom w:val="single" w:color="auto" w:sz="4" w:space="0"/>
              <w:right w:val="single" w:color="auto" w:sz="4" w:space="0"/>
            </w:tcBorders>
            <w:noWrap w:val="0"/>
            <w:vAlign w:val="center"/>
          </w:tcPr>
          <w:p w14:paraId="3DCEDD9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3CE415CB">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0B611F5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E09AB2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测试控制器记忆功能</w:t>
            </w:r>
          </w:p>
        </w:tc>
        <w:tc>
          <w:tcPr>
            <w:tcW w:w="1478" w:type="pct"/>
            <w:tcBorders>
              <w:top w:val="nil"/>
              <w:left w:val="nil"/>
              <w:bottom w:val="single" w:color="auto" w:sz="4" w:space="0"/>
              <w:right w:val="single" w:color="auto" w:sz="4" w:space="0"/>
            </w:tcBorders>
            <w:noWrap w:val="0"/>
            <w:vAlign w:val="center"/>
          </w:tcPr>
          <w:p w14:paraId="6B81BCD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25745634">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4F1F238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067D7CA">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测试控制器打印机打印功能</w:t>
            </w:r>
          </w:p>
        </w:tc>
        <w:tc>
          <w:tcPr>
            <w:tcW w:w="1478" w:type="pct"/>
            <w:tcBorders>
              <w:top w:val="nil"/>
              <w:left w:val="nil"/>
              <w:bottom w:val="single" w:color="auto" w:sz="4" w:space="0"/>
              <w:right w:val="single" w:color="auto" w:sz="4" w:space="0"/>
            </w:tcBorders>
            <w:noWrap w:val="0"/>
            <w:vAlign w:val="center"/>
          </w:tcPr>
          <w:p w14:paraId="27E3839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33BB1A7C">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72CC9CC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18280A5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测试火灾显示盘功能</w:t>
            </w:r>
          </w:p>
        </w:tc>
        <w:tc>
          <w:tcPr>
            <w:tcW w:w="1478" w:type="pct"/>
            <w:tcBorders>
              <w:top w:val="nil"/>
              <w:left w:val="nil"/>
              <w:bottom w:val="single" w:color="auto" w:sz="4" w:space="0"/>
              <w:right w:val="single" w:color="auto" w:sz="4" w:space="0"/>
            </w:tcBorders>
            <w:noWrap w:val="0"/>
            <w:vAlign w:val="center"/>
          </w:tcPr>
          <w:p w14:paraId="513A62D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515C0F90">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603352E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0E43705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测试CRT显示器显示功能</w:t>
            </w:r>
          </w:p>
        </w:tc>
        <w:tc>
          <w:tcPr>
            <w:tcW w:w="1478" w:type="pct"/>
            <w:tcBorders>
              <w:top w:val="nil"/>
              <w:left w:val="nil"/>
              <w:bottom w:val="single" w:color="auto" w:sz="4" w:space="0"/>
              <w:right w:val="single" w:color="auto" w:sz="4" w:space="0"/>
            </w:tcBorders>
            <w:noWrap w:val="0"/>
            <w:vAlign w:val="center"/>
          </w:tcPr>
          <w:p w14:paraId="3607580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6B1B6A4">
        <w:tblPrEx>
          <w:tblCellMar>
            <w:top w:w="0" w:type="dxa"/>
            <w:left w:w="108" w:type="dxa"/>
            <w:bottom w:w="0" w:type="dxa"/>
            <w:right w:w="108" w:type="dxa"/>
          </w:tblCellMar>
        </w:tblPrEx>
        <w:trPr>
          <w:trHeight w:val="356" w:hRule="atLeast"/>
        </w:trPr>
        <w:tc>
          <w:tcPr>
            <w:tcW w:w="879" w:type="pct"/>
            <w:vMerge w:val="restart"/>
            <w:tcBorders>
              <w:top w:val="nil"/>
              <w:left w:val="single" w:color="auto" w:sz="4" w:space="0"/>
              <w:bottom w:val="single" w:color="auto" w:sz="4" w:space="0"/>
              <w:right w:val="single" w:color="auto" w:sz="4" w:space="0"/>
            </w:tcBorders>
            <w:noWrap w:val="0"/>
            <w:textDirection w:val="tbRlV"/>
            <w:vAlign w:val="center"/>
          </w:tcPr>
          <w:p w14:paraId="7183D0E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消防供水</w:t>
            </w:r>
          </w:p>
        </w:tc>
        <w:tc>
          <w:tcPr>
            <w:tcW w:w="2643" w:type="pct"/>
            <w:tcBorders>
              <w:top w:val="nil"/>
              <w:left w:val="nil"/>
              <w:bottom w:val="single" w:color="auto" w:sz="4" w:space="0"/>
              <w:right w:val="single" w:color="auto" w:sz="4" w:space="0"/>
            </w:tcBorders>
            <w:noWrap w:val="0"/>
            <w:vAlign w:val="center"/>
          </w:tcPr>
          <w:p w14:paraId="7FF4645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消防水池进水阀常开、浮球工作正常</w:t>
            </w:r>
          </w:p>
        </w:tc>
        <w:tc>
          <w:tcPr>
            <w:tcW w:w="1478" w:type="pct"/>
            <w:tcBorders>
              <w:top w:val="nil"/>
              <w:left w:val="nil"/>
              <w:bottom w:val="single" w:color="auto" w:sz="4" w:space="0"/>
              <w:right w:val="single" w:color="auto" w:sz="4" w:space="0"/>
            </w:tcBorders>
            <w:noWrap w:val="0"/>
            <w:vAlign w:val="center"/>
          </w:tcPr>
          <w:p w14:paraId="6231458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2DC97109">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4BFAE14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B30B57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测试压力开关动作信号</w:t>
            </w:r>
          </w:p>
        </w:tc>
        <w:tc>
          <w:tcPr>
            <w:tcW w:w="1478" w:type="pct"/>
            <w:tcBorders>
              <w:top w:val="nil"/>
              <w:left w:val="nil"/>
              <w:bottom w:val="single" w:color="auto" w:sz="4" w:space="0"/>
              <w:right w:val="single" w:color="auto" w:sz="4" w:space="0"/>
            </w:tcBorders>
            <w:noWrap w:val="0"/>
            <w:vAlign w:val="center"/>
          </w:tcPr>
          <w:p w14:paraId="1351055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44B3FC84">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2453B27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01084E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测试远程起泵和主、备泵切换功能</w:t>
            </w:r>
          </w:p>
        </w:tc>
        <w:tc>
          <w:tcPr>
            <w:tcW w:w="1478" w:type="pct"/>
            <w:tcBorders>
              <w:top w:val="nil"/>
              <w:left w:val="nil"/>
              <w:bottom w:val="single" w:color="auto" w:sz="4" w:space="0"/>
              <w:right w:val="single" w:color="auto" w:sz="4" w:space="0"/>
            </w:tcBorders>
            <w:noWrap w:val="0"/>
            <w:vAlign w:val="center"/>
          </w:tcPr>
          <w:p w14:paraId="5A3C978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766F8490">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6733AB3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05B971D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消防水箱进水阀常开、浮球是否正常</w:t>
            </w:r>
          </w:p>
        </w:tc>
        <w:tc>
          <w:tcPr>
            <w:tcW w:w="1478" w:type="pct"/>
            <w:tcBorders>
              <w:top w:val="nil"/>
              <w:left w:val="nil"/>
              <w:bottom w:val="single" w:color="auto" w:sz="4" w:space="0"/>
              <w:right w:val="single" w:color="auto" w:sz="4" w:space="0"/>
            </w:tcBorders>
            <w:noWrap w:val="0"/>
            <w:vAlign w:val="center"/>
          </w:tcPr>
          <w:p w14:paraId="03E0662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6B371D2E">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7FE8078E">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46A4A9D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检查室外水泵接合器、稳压罐及压力表</w:t>
            </w:r>
          </w:p>
        </w:tc>
        <w:tc>
          <w:tcPr>
            <w:tcW w:w="1478" w:type="pct"/>
            <w:tcBorders>
              <w:top w:val="nil"/>
              <w:left w:val="nil"/>
              <w:bottom w:val="single" w:color="auto" w:sz="4" w:space="0"/>
              <w:right w:val="single" w:color="auto" w:sz="4" w:space="0"/>
            </w:tcBorders>
            <w:noWrap w:val="0"/>
            <w:vAlign w:val="center"/>
          </w:tcPr>
          <w:p w14:paraId="56B5725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46B605EC">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77057B4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6AD521E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各类管网、阀门是否处于正常完好状态</w:t>
            </w:r>
          </w:p>
        </w:tc>
        <w:tc>
          <w:tcPr>
            <w:tcW w:w="1478" w:type="pct"/>
            <w:tcBorders>
              <w:top w:val="nil"/>
              <w:left w:val="nil"/>
              <w:bottom w:val="single" w:color="auto" w:sz="4" w:space="0"/>
              <w:right w:val="single" w:color="auto" w:sz="4" w:space="0"/>
            </w:tcBorders>
            <w:noWrap w:val="0"/>
            <w:vAlign w:val="center"/>
          </w:tcPr>
          <w:p w14:paraId="192C51AB">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1A5ACCAF">
        <w:tblPrEx>
          <w:tblCellMar>
            <w:top w:w="0" w:type="dxa"/>
            <w:left w:w="108" w:type="dxa"/>
            <w:bottom w:w="0" w:type="dxa"/>
            <w:right w:w="108" w:type="dxa"/>
          </w:tblCellMar>
        </w:tblPrEx>
        <w:trPr>
          <w:trHeight w:val="356" w:hRule="atLeast"/>
        </w:trPr>
        <w:tc>
          <w:tcPr>
            <w:tcW w:w="879" w:type="pct"/>
            <w:tcBorders>
              <w:top w:val="single" w:color="auto" w:sz="4" w:space="0"/>
              <w:left w:val="single" w:color="auto" w:sz="4" w:space="0"/>
              <w:bottom w:val="single" w:color="auto" w:sz="4" w:space="0"/>
              <w:right w:val="single" w:color="auto" w:sz="4" w:space="0"/>
            </w:tcBorders>
            <w:noWrap w:val="0"/>
            <w:vAlign w:val="center"/>
          </w:tcPr>
          <w:p w14:paraId="39121535">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系   统</w:t>
            </w:r>
          </w:p>
        </w:tc>
        <w:tc>
          <w:tcPr>
            <w:tcW w:w="2643" w:type="pct"/>
            <w:tcBorders>
              <w:top w:val="single" w:color="auto" w:sz="4" w:space="0"/>
              <w:left w:val="nil"/>
              <w:bottom w:val="single" w:color="auto" w:sz="4" w:space="0"/>
              <w:right w:val="single" w:color="auto" w:sz="4" w:space="0"/>
            </w:tcBorders>
            <w:noWrap w:val="0"/>
            <w:vAlign w:val="center"/>
          </w:tcPr>
          <w:p w14:paraId="32C6FEEC">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检 测 内 容</w:t>
            </w:r>
          </w:p>
        </w:tc>
        <w:tc>
          <w:tcPr>
            <w:tcW w:w="1478" w:type="pct"/>
            <w:tcBorders>
              <w:top w:val="single" w:color="auto" w:sz="4" w:space="0"/>
              <w:left w:val="nil"/>
              <w:bottom w:val="single" w:color="auto" w:sz="4" w:space="0"/>
              <w:right w:val="single" w:color="auto" w:sz="4" w:space="0"/>
            </w:tcBorders>
            <w:noWrap w:val="0"/>
            <w:vAlign w:val="center"/>
          </w:tcPr>
          <w:p w14:paraId="7C32CBEC">
            <w:pPr>
              <w:keepNext w:val="0"/>
              <w:keepLines w:val="0"/>
              <w:widowControl/>
              <w:suppressLineNumbers w:val="0"/>
              <w:spacing w:line="288" w:lineRule="auto"/>
              <w:jc w:val="center"/>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周    期</w:t>
            </w:r>
          </w:p>
        </w:tc>
      </w:tr>
      <w:tr w14:paraId="423B58A5">
        <w:tblPrEx>
          <w:tblCellMar>
            <w:top w:w="0" w:type="dxa"/>
            <w:left w:w="108" w:type="dxa"/>
            <w:bottom w:w="0" w:type="dxa"/>
            <w:right w:w="108" w:type="dxa"/>
          </w:tblCellMar>
        </w:tblPrEx>
        <w:trPr>
          <w:trHeight w:val="356" w:hRule="atLeast"/>
        </w:trPr>
        <w:tc>
          <w:tcPr>
            <w:tcW w:w="879" w:type="pct"/>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2B1813E">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消火栓</w:t>
            </w:r>
          </w:p>
        </w:tc>
        <w:tc>
          <w:tcPr>
            <w:tcW w:w="2643" w:type="pct"/>
            <w:tcBorders>
              <w:top w:val="single" w:color="auto" w:sz="4" w:space="0"/>
              <w:left w:val="nil"/>
              <w:bottom w:val="single" w:color="auto" w:sz="4" w:space="0"/>
              <w:right w:val="single" w:color="auto" w:sz="4" w:space="0"/>
            </w:tcBorders>
            <w:noWrap w:val="0"/>
            <w:vAlign w:val="center"/>
          </w:tcPr>
          <w:p w14:paraId="7179461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测试屋顶消火栓静压及出水</w:t>
            </w:r>
          </w:p>
        </w:tc>
        <w:tc>
          <w:tcPr>
            <w:tcW w:w="1478" w:type="pct"/>
            <w:tcBorders>
              <w:top w:val="single" w:color="auto" w:sz="4" w:space="0"/>
              <w:left w:val="nil"/>
              <w:bottom w:val="single" w:color="auto" w:sz="4" w:space="0"/>
              <w:right w:val="single" w:color="auto" w:sz="4" w:space="0"/>
            </w:tcBorders>
            <w:noWrap w:val="0"/>
            <w:vAlign w:val="center"/>
          </w:tcPr>
          <w:p w14:paraId="42A1B73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5D429D10">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17F4E7E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154E36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测试室外消火栓静压及出水</w:t>
            </w:r>
          </w:p>
        </w:tc>
        <w:tc>
          <w:tcPr>
            <w:tcW w:w="1478" w:type="pct"/>
            <w:tcBorders>
              <w:top w:val="nil"/>
              <w:left w:val="nil"/>
              <w:bottom w:val="single" w:color="auto" w:sz="4" w:space="0"/>
              <w:right w:val="single" w:color="auto" w:sz="4" w:space="0"/>
            </w:tcBorders>
            <w:noWrap w:val="0"/>
            <w:vAlign w:val="center"/>
          </w:tcPr>
          <w:p w14:paraId="358544B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9740FA5">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215A7DB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018D66A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测试消火栓启泵功能</w:t>
            </w:r>
          </w:p>
        </w:tc>
        <w:tc>
          <w:tcPr>
            <w:tcW w:w="1478" w:type="pct"/>
            <w:tcBorders>
              <w:top w:val="nil"/>
              <w:left w:val="nil"/>
              <w:bottom w:val="single" w:color="auto" w:sz="4" w:space="0"/>
              <w:right w:val="single" w:color="auto" w:sz="4" w:space="0"/>
            </w:tcBorders>
            <w:noWrap w:val="0"/>
            <w:vAlign w:val="center"/>
          </w:tcPr>
          <w:p w14:paraId="695A5F8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22D9BA9F">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157CB54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75FCC00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检查消火栓箱内的水枪、水带</w:t>
            </w:r>
          </w:p>
        </w:tc>
        <w:tc>
          <w:tcPr>
            <w:tcW w:w="1478" w:type="pct"/>
            <w:tcBorders>
              <w:top w:val="nil"/>
              <w:left w:val="nil"/>
              <w:bottom w:val="single" w:color="auto" w:sz="4" w:space="0"/>
              <w:right w:val="single" w:color="auto" w:sz="4" w:space="0"/>
            </w:tcBorders>
            <w:noWrap w:val="0"/>
            <w:vAlign w:val="center"/>
          </w:tcPr>
          <w:p w14:paraId="27482CC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104B1D0">
        <w:tblPrEx>
          <w:tblCellMar>
            <w:top w:w="0" w:type="dxa"/>
            <w:left w:w="108" w:type="dxa"/>
            <w:bottom w:w="0" w:type="dxa"/>
            <w:right w:w="108" w:type="dxa"/>
          </w:tblCellMar>
        </w:tblPrEx>
        <w:trPr>
          <w:trHeight w:val="356" w:hRule="atLeast"/>
        </w:trPr>
        <w:tc>
          <w:tcPr>
            <w:tcW w:w="879" w:type="pct"/>
            <w:vMerge w:val="restart"/>
            <w:tcBorders>
              <w:top w:val="single" w:color="auto" w:sz="4" w:space="0"/>
              <w:left w:val="single" w:color="auto" w:sz="4" w:space="0"/>
              <w:bottom w:val="single" w:color="auto" w:sz="4" w:space="0"/>
              <w:right w:val="single" w:color="auto" w:sz="4" w:space="0"/>
            </w:tcBorders>
            <w:noWrap w:val="0"/>
            <w:vAlign w:val="center"/>
          </w:tcPr>
          <w:p w14:paraId="01E3FDF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自喷系统</w:t>
            </w:r>
          </w:p>
        </w:tc>
        <w:tc>
          <w:tcPr>
            <w:tcW w:w="2643" w:type="pct"/>
            <w:tcBorders>
              <w:top w:val="single" w:color="auto" w:sz="4" w:space="0"/>
              <w:left w:val="nil"/>
              <w:bottom w:val="single" w:color="auto" w:sz="4" w:space="0"/>
              <w:right w:val="single" w:color="auto" w:sz="4" w:space="0"/>
            </w:tcBorders>
            <w:noWrap w:val="0"/>
            <w:vAlign w:val="center"/>
          </w:tcPr>
          <w:p w14:paraId="0DDFE6A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测试末端放水阀的静压及出水</w:t>
            </w:r>
          </w:p>
        </w:tc>
        <w:tc>
          <w:tcPr>
            <w:tcW w:w="1478" w:type="pct"/>
            <w:tcBorders>
              <w:top w:val="single" w:color="auto" w:sz="4" w:space="0"/>
              <w:left w:val="nil"/>
              <w:bottom w:val="single" w:color="auto" w:sz="4" w:space="0"/>
              <w:right w:val="single" w:color="auto" w:sz="4" w:space="0"/>
            </w:tcBorders>
            <w:noWrap w:val="0"/>
            <w:vAlign w:val="center"/>
          </w:tcPr>
          <w:p w14:paraId="22BB206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71BED9D">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66904CC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50B76D2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测试水流器的反馈信号</w:t>
            </w:r>
          </w:p>
        </w:tc>
        <w:tc>
          <w:tcPr>
            <w:tcW w:w="1478" w:type="pct"/>
            <w:tcBorders>
              <w:top w:val="nil"/>
              <w:left w:val="nil"/>
              <w:bottom w:val="single" w:color="auto" w:sz="4" w:space="0"/>
              <w:right w:val="single" w:color="auto" w:sz="4" w:space="0"/>
            </w:tcBorders>
            <w:noWrap w:val="0"/>
            <w:vAlign w:val="center"/>
          </w:tcPr>
          <w:p w14:paraId="4B75D61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5DCC1D8E">
        <w:tblPrEx>
          <w:tblCellMar>
            <w:top w:w="0" w:type="dxa"/>
            <w:left w:w="108" w:type="dxa"/>
            <w:bottom w:w="0" w:type="dxa"/>
            <w:right w:w="108" w:type="dxa"/>
          </w:tblCellMar>
        </w:tblPrEx>
        <w:trPr>
          <w:trHeight w:val="475" w:hRule="atLeast"/>
        </w:trPr>
        <w:tc>
          <w:tcPr>
            <w:tcW w:w="879" w:type="pct"/>
            <w:vMerge w:val="restart"/>
            <w:tcBorders>
              <w:top w:val="nil"/>
              <w:left w:val="single" w:color="auto" w:sz="4" w:space="0"/>
              <w:bottom w:val="single" w:color="auto" w:sz="4" w:space="0"/>
              <w:right w:val="single" w:color="auto" w:sz="4" w:space="0"/>
            </w:tcBorders>
            <w:noWrap w:val="0"/>
            <w:textDirection w:val="tbRlV"/>
            <w:vAlign w:val="center"/>
          </w:tcPr>
          <w:p w14:paraId="655DA95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气体灭火</w:t>
            </w:r>
          </w:p>
        </w:tc>
        <w:tc>
          <w:tcPr>
            <w:tcW w:w="2643" w:type="pct"/>
            <w:tcBorders>
              <w:top w:val="nil"/>
              <w:left w:val="nil"/>
              <w:bottom w:val="single" w:color="auto" w:sz="4" w:space="0"/>
              <w:right w:val="single" w:color="auto" w:sz="4" w:space="0"/>
            </w:tcBorders>
            <w:noWrap w:val="0"/>
            <w:vAlign w:val="center"/>
          </w:tcPr>
          <w:p w14:paraId="07406D8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检查选择阀是否灵活</w:t>
            </w:r>
          </w:p>
        </w:tc>
        <w:tc>
          <w:tcPr>
            <w:tcW w:w="1478" w:type="pct"/>
            <w:tcBorders>
              <w:top w:val="nil"/>
              <w:left w:val="nil"/>
              <w:bottom w:val="single" w:color="auto" w:sz="4" w:space="0"/>
              <w:right w:val="single" w:color="auto" w:sz="4" w:space="0"/>
            </w:tcBorders>
            <w:noWrap w:val="0"/>
            <w:vAlign w:val="center"/>
          </w:tcPr>
          <w:p w14:paraId="147A0549">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74A87043">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4C1174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2C55A43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喷嘴、烟、温感</w:t>
            </w:r>
          </w:p>
        </w:tc>
        <w:tc>
          <w:tcPr>
            <w:tcW w:w="1478" w:type="pct"/>
            <w:tcBorders>
              <w:top w:val="nil"/>
              <w:left w:val="nil"/>
              <w:bottom w:val="single" w:color="auto" w:sz="4" w:space="0"/>
              <w:right w:val="single" w:color="auto" w:sz="4" w:space="0"/>
            </w:tcBorders>
            <w:noWrap w:val="0"/>
            <w:vAlign w:val="center"/>
          </w:tcPr>
          <w:p w14:paraId="541BA1A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574ED579">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135415C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4750F76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气体瓶组间及防护区的铭牌、标识</w:t>
            </w:r>
          </w:p>
        </w:tc>
        <w:tc>
          <w:tcPr>
            <w:tcW w:w="1478" w:type="pct"/>
            <w:tcBorders>
              <w:top w:val="nil"/>
              <w:left w:val="nil"/>
              <w:bottom w:val="single" w:color="auto" w:sz="4" w:space="0"/>
              <w:right w:val="single" w:color="auto" w:sz="4" w:space="0"/>
            </w:tcBorders>
            <w:noWrap w:val="0"/>
            <w:vAlign w:val="center"/>
          </w:tcPr>
          <w:p w14:paraId="7EB8CD1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2CB584D3">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0CA63BB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00D8E59D">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检查钢瓶灭火剂储存量（气压表、称重器）</w:t>
            </w:r>
          </w:p>
        </w:tc>
        <w:tc>
          <w:tcPr>
            <w:tcW w:w="1478" w:type="pct"/>
            <w:tcBorders>
              <w:top w:val="nil"/>
              <w:left w:val="nil"/>
              <w:bottom w:val="single" w:color="auto" w:sz="4" w:space="0"/>
              <w:right w:val="single" w:color="auto" w:sz="4" w:space="0"/>
            </w:tcBorders>
            <w:noWrap w:val="0"/>
            <w:vAlign w:val="center"/>
          </w:tcPr>
          <w:p w14:paraId="7081C45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31EA4E79">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AD47F2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E2324B4">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检查气体启动瓶的压力（表）</w:t>
            </w:r>
          </w:p>
        </w:tc>
        <w:tc>
          <w:tcPr>
            <w:tcW w:w="1478" w:type="pct"/>
            <w:tcBorders>
              <w:top w:val="nil"/>
              <w:left w:val="nil"/>
              <w:bottom w:val="single" w:color="auto" w:sz="4" w:space="0"/>
              <w:right w:val="single" w:color="auto" w:sz="4" w:space="0"/>
            </w:tcBorders>
            <w:noWrap w:val="0"/>
            <w:vAlign w:val="center"/>
          </w:tcPr>
          <w:p w14:paraId="5BE75D8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3FC400A6">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44F11C6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776D26C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测试气体控制器模拟自动启动</w:t>
            </w:r>
          </w:p>
        </w:tc>
        <w:tc>
          <w:tcPr>
            <w:tcW w:w="1478" w:type="pct"/>
            <w:tcBorders>
              <w:top w:val="nil"/>
              <w:left w:val="nil"/>
              <w:bottom w:val="single" w:color="auto" w:sz="4" w:space="0"/>
              <w:right w:val="single" w:color="auto" w:sz="4" w:space="0"/>
            </w:tcBorders>
            <w:noWrap w:val="0"/>
            <w:vAlign w:val="center"/>
          </w:tcPr>
          <w:p w14:paraId="6B3C329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25AF329F">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54A9CC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48CB7C6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紧急启、停按钮</w:t>
            </w:r>
          </w:p>
        </w:tc>
        <w:tc>
          <w:tcPr>
            <w:tcW w:w="1478" w:type="pct"/>
            <w:tcBorders>
              <w:top w:val="nil"/>
              <w:left w:val="nil"/>
              <w:bottom w:val="single" w:color="auto" w:sz="4" w:space="0"/>
              <w:right w:val="single" w:color="auto" w:sz="4" w:space="0"/>
            </w:tcBorders>
            <w:noWrap w:val="0"/>
            <w:vAlign w:val="center"/>
          </w:tcPr>
          <w:p w14:paraId="6E099ED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0DFF2F5B">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26E9420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4AF0D2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防护区的门灯、声光检查</w:t>
            </w:r>
          </w:p>
        </w:tc>
        <w:tc>
          <w:tcPr>
            <w:tcW w:w="1478" w:type="pct"/>
            <w:tcBorders>
              <w:top w:val="nil"/>
              <w:left w:val="nil"/>
              <w:bottom w:val="single" w:color="auto" w:sz="4" w:space="0"/>
              <w:right w:val="single" w:color="auto" w:sz="4" w:space="0"/>
            </w:tcBorders>
            <w:noWrap w:val="0"/>
            <w:vAlign w:val="center"/>
          </w:tcPr>
          <w:p w14:paraId="5B96614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2C88CDAB">
        <w:tblPrEx>
          <w:tblCellMar>
            <w:top w:w="0" w:type="dxa"/>
            <w:left w:w="108" w:type="dxa"/>
            <w:bottom w:w="0" w:type="dxa"/>
            <w:right w:w="108" w:type="dxa"/>
          </w:tblCellMar>
        </w:tblPrEx>
        <w:trPr>
          <w:trHeight w:val="341" w:hRule="atLeast"/>
        </w:trPr>
        <w:tc>
          <w:tcPr>
            <w:tcW w:w="879" w:type="pct"/>
            <w:vMerge w:val="restart"/>
            <w:tcBorders>
              <w:top w:val="nil"/>
              <w:left w:val="single" w:color="auto" w:sz="4" w:space="0"/>
              <w:bottom w:val="single" w:color="auto" w:sz="4" w:space="0"/>
              <w:right w:val="single" w:color="auto" w:sz="4" w:space="0"/>
            </w:tcBorders>
            <w:noWrap w:val="0"/>
            <w:textDirection w:val="tbRlV"/>
            <w:vAlign w:val="center"/>
          </w:tcPr>
          <w:p w14:paraId="0A2920F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防火分隔</w:t>
            </w:r>
          </w:p>
        </w:tc>
        <w:tc>
          <w:tcPr>
            <w:tcW w:w="2643" w:type="pct"/>
            <w:tcBorders>
              <w:top w:val="single" w:color="auto" w:sz="4" w:space="0"/>
              <w:left w:val="nil"/>
              <w:bottom w:val="single" w:color="auto" w:sz="4" w:space="0"/>
              <w:right w:val="single" w:color="auto" w:sz="4" w:space="0"/>
            </w:tcBorders>
            <w:noWrap w:val="0"/>
            <w:vAlign w:val="center"/>
          </w:tcPr>
          <w:p w14:paraId="50D67E0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试验电动防火阀联动关闭功能</w:t>
            </w:r>
          </w:p>
        </w:tc>
        <w:tc>
          <w:tcPr>
            <w:tcW w:w="1478" w:type="pct"/>
            <w:tcBorders>
              <w:top w:val="single" w:color="auto" w:sz="4" w:space="0"/>
              <w:left w:val="nil"/>
              <w:bottom w:val="single" w:color="auto" w:sz="4" w:space="0"/>
              <w:right w:val="single" w:color="auto" w:sz="4" w:space="0"/>
            </w:tcBorders>
            <w:noWrap w:val="0"/>
            <w:vAlign w:val="center"/>
          </w:tcPr>
          <w:p w14:paraId="5F703E9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2C760F50">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7B09BA25">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single" w:color="auto" w:sz="4" w:space="0"/>
              <w:left w:val="nil"/>
              <w:bottom w:val="single" w:color="auto" w:sz="4" w:space="0"/>
              <w:right w:val="single" w:color="auto" w:sz="4" w:space="0"/>
            </w:tcBorders>
            <w:noWrap w:val="0"/>
            <w:vAlign w:val="center"/>
          </w:tcPr>
          <w:p w14:paraId="4B20437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检查防火卷手动</w:t>
            </w:r>
          </w:p>
        </w:tc>
        <w:tc>
          <w:tcPr>
            <w:tcW w:w="1478" w:type="pct"/>
            <w:tcBorders>
              <w:top w:val="single" w:color="auto" w:sz="4" w:space="0"/>
              <w:left w:val="nil"/>
              <w:bottom w:val="single" w:color="auto" w:sz="4" w:space="0"/>
              <w:right w:val="single" w:color="auto" w:sz="4" w:space="0"/>
            </w:tcBorders>
            <w:noWrap w:val="0"/>
            <w:vAlign w:val="center"/>
          </w:tcPr>
          <w:p w14:paraId="6050F68F">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51333202">
        <w:tblPrEx>
          <w:tblCellMar>
            <w:top w:w="0" w:type="dxa"/>
            <w:left w:w="108" w:type="dxa"/>
            <w:bottom w:w="0" w:type="dxa"/>
            <w:right w:w="108" w:type="dxa"/>
          </w:tblCellMar>
        </w:tblPrEx>
        <w:trPr>
          <w:trHeight w:val="356" w:hRule="atLeast"/>
        </w:trPr>
        <w:tc>
          <w:tcPr>
            <w:tcW w:w="879" w:type="pct"/>
            <w:vMerge w:val="restart"/>
            <w:tcBorders>
              <w:top w:val="nil"/>
              <w:left w:val="single" w:color="auto" w:sz="4" w:space="0"/>
              <w:bottom w:val="single" w:color="auto" w:sz="4" w:space="0"/>
              <w:right w:val="single" w:color="auto" w:sz="4" w:space="0"/>
            </w:tcBorders>
            <w:noWrap w:val="0"/>
            <w:vAlign w:val="center"/>
          </w:tcPr>
          <w:p w14:paraId="47933EB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应急广播        通讯系统</w:t>
            </w:r>
          </w:p>
        </w:tc>
        <w:tc>
          <w:tcPr>
            <w:tcW w:w="2643" w:type="pct"/>
            <w:tcBorders>
              <w:top w:val="nil"/>
              <w:left w:val="nil"/>
              <w:bottom w:val="single" w:color="auto" w:sz="4" w:space="0"/>
              <w:right w:val="single" w:color="auto" w:sz="4" w:space="0"/>
            </w:tcBorders>
            <w:noWrap w:val="0"/>
            <w:vAlign w:val="center"/>
          </w:tcPr>
          <w:p w14:paraId="599A64E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试验扩音器联动启动和强制切换功能</w:t>
            </w:r>
          </w:p>
        </w:tc>
        <w:tc>
          <w:tcPr>
            <w:tcW w:w="1478" w:type="pct"/>
            <w:tcBorders>
              <w:top w:val="nil"/>
              <w:left w:val="nil"/>
              <w:bottom w:val="single" w:color="auto" w:sz="4" w:space="0"/>
              <w:right w:val="single" w:color="auto" w:sz="4" w:space="0"/>
            </w:tcBorders>
            <w:noWrap w:val="0"/>
            <w:vAlign w:val="center"/>
          </w:tcPr>
          <w:p w14:paraId="15B37A1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470E4E0A">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04849601">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63A613D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扬声器测试功能</w:t>
            </w:r>
          </w:p>
        </w:tc>
        <w:tc>
          <w:tcPr>
            <w:tcW w:w="1478" w:type="pct"/>
            <w:tcBorders>
              <w:top w:val="nil"/>
              <w:left w:val="nil"/>
              <w:bottom w:val="single" w:color="auto" w:sz="4" w:space="0"/>
              <w:right w:val="single" w:color="auto" w:sz="4" w:space="0"/>
            </w:tcBorders>
            <w:noWrap w:val="0"/>
            <w:vAlign w:val="center"/>
          </w:tcPr>
          <w:p w14:paraId="6C3937D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2A879156">
        <w:tblPrEx>
          <w:tblCellMar>
            <w:top w:w="0" w:type="dxa"/>
            <w:left w:w="108" w:type="dxa"/>
            <w:bottom w:w="0" w:type="dxa"/>
            <w:right w:w="108" w:type="dxa"/>
          </w:tblCellMar>
        </w:tblPrEx>
        <w:trPr>
          <w:trHeight w:val="356"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43002938">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35D095FE">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测试消防专用电话通话质量</w:t>
            </w:r>
          </w:p>
        </w:tc>
        <w:tc>
          <w:tcPr>
            <w:tcW w:w="1478" w:type="pct"/>
            <w:tcBorders>
              <w:top w:val="nil"/>
              <w:left w:val="nil"/>
              <w:bottom w:val="single" w:color="auto" w:sz="4" w:space="0"/>
              <w:right w:val="single" w:color="auto" w:sz="4" w:space="0"/>
            </w:tcBorders>
            <w:noWrap w:val="0"/>
            <w:vAlign w:val="center"/>
          </w:tcPr>
          <w:p w14:paraId="504046C0">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一季一次</w:t>
            </w:r>
          </w:p>
        </w:tc>
      </w:tr>
      <w:tr w14:paraId="7E1B9A27">
        <w:tblPrEx>
          <w:tblCellMar>
            <w:top w:w="0" w:type="dxa"/>
            <w:left w:w="108" w:type="dxa"/>
            <w:bottom w:w="0" w:type="dxa"/>
            <w:right w:w="108" w:type="dxa"/>
          </w:tblCellMar>
        </w:tblPrEx>
        <w:trPr>
          <w:trHeight w:val="356" w:hRule="atLeast"/>
        </w:trPr>
        <w:tc>
          <w:tcPr>
            <w:tcW w:w="879" w:type="pct"/>
            <w:vMerge w:val="restart"/>
            <w:tcBorders>
              <w:top w:val="nil"/>
              <w:left w:val="single" w:color="auto" w:sz="4" w:space="0"/>
              <w:bottom w:val="single" w:color="auto" w:sz="4" w:space="0"/>
              <w:right w:val="single" w:color="auto" w:sz="4" w:space="0"/>
            </w:tcBorders>
            <w:noWrap w:val="0"/>
            <w:vAlign w:val="center"/>
          </w:tcPr>
          <w:p w14:paraId="1FEC0D2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安全疏散</w:t>
            </w:r>
          </w:p>
        </w:tc>
        <w:tc>
          <w:tcPr>
            <w:tcW w:w="2643" w:type="pct"/>
            <w:tcBorders>
              <w:top w:val="nil"/>
              <w:left w:val="nil"/>
              <w:bottom w:val="single" w:color="auto" w:sz="4" w:space="0"/>
              <w:right w:val="single" w:color="auto" w:sz="4" w:space="0"/>
            </w:tcBorders>
            <w:noWrap w:val="0"/>
            <w:vAlign w:val="center"/>
          </w:tcPr>
          <w:p w14:paraId="0CD48A1C">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应急照明在切断正常供电后照明亮度</w:t>
            </w:r>
          </w:p>
        </w:tc>
        <w:tc>
          <w:tcPr>
            <w:tcW w:w="1478" w:type="pct"/>
            <w:tcBorders>
              <w:top w:val="nil"/>
              <w:left w:val="nil"/>
              <w:bottom w:val="single" w:color="auto" w:sz="4" w:space="0"/>
              <w:right w:val="single" w:color="auto" w:sz="4" w:space="0"/>
            </w:tcBorders>
            <w:noWrap w:val="0"/>
            <w:vAlign w:val="center"/>
          </w:tcPr>
          <w:p w14:paraId="59E0C5E7">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r w14:paraId="458F1C8A">
        <w:tblPrEx>
          <w:tblCellMar>
            <w:top w:w="0" w:type="dxa"/>
            <w:left w:w="108" w:type="dxa"/>
            <w:bottom w:w="0" w:type="dxa"/>
            <w:right w:w="108" w:type="dxa"/>
          </w:tblCellMar>
        </w:tblPrEx>
        <w:trPr>
          <w:trHeight w:val="371" w:hRule="atLeast"/>
        </w:trPr>
        <w:tc>
          <w:tcPr>
            <w:tcW w:w="879" w:type="pct"/>
            <w:vMerge w:val="continue"/>
            <w:tcBorders>
              <w:top w:val="nil"/>
              <w:left w:val="single" w:color="auto" w:sz="4" w:space="0"/>
              <w:bottom w:val="single" w:color="auto" w:sz="4" w:space="0"/>
              <w:right w:val="single" w:color="auto" w:sz="4" w:space="0"/>
            </w:tcBorders>
            <w:noWrap w:val="0"/>
            <w:vAlign w:val="center"/>
          </w:tcPr>
          <w:p w14:paraId="524A6E63">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p>
        </w:tc>
        <w:tc>
          <w:tcPr>
            <w:tcW w:w="2643" w:type="pct"/>
            <w:tcBorders>
              <w:top w:val="nil"/>
              <w:left w:val="nil"/>
              <w:bottom w:val="single" w:color="auto" w:sz="4" w:space="0"/>
              <w:right w:val="single" w:color="auto" w:sz="4" w:space="0"/>
            </w:tcBorders>
            <w:noWrap w:val="0"/>
            <w:vAlign w:val="center"/>
          </w:tcPr>
          <w:p w14:paraId="6EBF77C2">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疏散指示标志要在切断正常供电时照明亮度</w:t>
            </w:r>
          </w:p>
        </w:tc>
        <w:tc>
          <w:tcPr>
            <w:tcW w:w="1478" w:type="pct"/>
            <w:tcBorders>
              <w:top w:val="nil"/>
              <w:left w:val="nil"/>
              <w:bottom w:val="single" w:color="auto" w:sz="4" w:space="0"/>
              <w:right w:val="single" w:color="auto" w:sz="4" w:space="0"/>
            </w:tcBorders>
            <w:noWrap w:val="0"/>
            <w:vAlign w:val="center"/>
          </w:tcPr>
          <w:p w14:paraId="54DAFB96">
            <w:pPr>
              <w:keepNext w:val="0"/>
              <w:keepLines w:val="0"/>
              <w:widowControl/>
              <w:suppressLineNumbers w:val="0"/>
              <w:spacing w:line="288" w:lineRule="auto"/>
              <w:jc w:val="center"/>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一月一次</w:t>
            </w:r>
          </w:p>
        </w:tc>
      </w:tr>
    </w:tbl>
    <w:p w14:paraId="091D76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3.消防系统设备维修保养的具体要求</w:t>
      </w:r>
    </w:p>
    <w:p w14:paraId="492066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（1）火灾自动报警系统</w:t>
      </w:r>
    </w:p>
    <w:p w14:paraId="47E3F6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手动报警按钮：每月对手动报警按钮进行模拟火灾响应试验和故障报警试验。每半年按总量的50%完成抽检，每年完成一次全样检测。图书馆，教学楼、实训楼、建科院、体育馆、公寓楼、食堂手动报警按钮包含在本次委托维护范围内。如有设备损坏，向学院上报更换设备型号，价格，经确认后代为购买更换，费用经审计后另行支付，人工费包含在维护费内，我院不再另行支付。</w:t>
      </w:r>
    </w:p>
    <w:p w14:paraId="2CDEB7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②消防系统联动测试：每月对风机、空调、防火阀、非消防电源切除等的联动设备进行抽样测试，确定设备的动作信号和回答信号正常。</w:t>
      </w:r>
    </w:p>
    <w:p w14:paraId="2CAB61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（2）自动喷淋灭火系统</w:t>
      </w:r>
    </w:p>
    <w:p w14:paraId="234BA4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①水流指示器：用末端放水装置进行放水试验，检查水流指示器是否正常，每月按总量的30%测试一次，半年内全测一遍。</w:t>
      </w:r>
    </w:p>
    <w:p w14:paraId="02DC36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②湿式报警阀：打开试警铃阀，检测压力开关动作是否正常，其电气信号是否正确，打开排水阀检查主阀是否正常。每月按总量的100%测试一遍。</w:t>
      </w:r>
    </w:p>
    <w:p w14:paraId="51F220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③水泵：启动水泵，观察水泵运行是否正常，系统失压时水泵能否正常启动。每月测试一次。</w:t>
      </w:r>
    </w:p>
    <w:p w14:paraId="0EAE37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④联动控制：通过消防控制柜启、停水泵，检查反馈信号是否正确，每月测试一次。每月启动电动泵，同时试验主备泵的切换功能。</w:t>
      </w:r>
    </w:p>
    <w:p w14:paraId="16FBB3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⑤管网维护：每月检查系统配置情况，及时排除腐蚀、滴漏等现象。</w:t>
      </w:r>
    </w:p>
    <w:p w14:paraId="6E9784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⑥阀门：每月检查阀门的开关状态；每月检查开关性能，及时排除泄漏等情况。</w:t>
      </w:r>
    </w:p>
    <w:p w14:paraId="2688DC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⑦水泵接合器：每月检查水泵接合器的外观情况，及时排除锈蚀、滴漏等现象。</w:t>
      </w:r>
    </w:p>
    <w:p w14:paraId="21FC1B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⑧水泵吸入过滤器：每月检查其阻塞情况，必要的话清理。</w:t>
      </w:r>
    </w:p>
    <w:p w14:paraId="2271D0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⑨对设备每年进行必要油漆和添加润滑剂。</w:t>
      </w:r>
    </w:p>
    <w:p w14:paraId="6F337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（3）消火栓系统</w:t>
      </w:r>
    </w:p>
    <w:p w14:paraId="6B8013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①室内消火栓：进行常规检查，测试最不利点水压，检查管网压力和水质，并进行放水试验。每季按总量的25%抽测，一年测试一遍。</w:t>
      </w:r>
    </w:p>
    <w:p w14:paraId="77D44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②室外消火栓：每月测试室外消火栓，检查水质、水量，控制阀门是否开启。每半年对消火栓进行一次油漆和添加润滑油。</w:t>
      </w:r>
    </w:p>
    <w:p w14:paraId="6154A0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③联动控制：通过消防控制室启、停水泵，检查反馈信号是否正确。每月一次。</w:t>
      </w:r>
    </w:p>
    <w:p w14:paraId="68F10F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④管网维护：每月检查系统管网情况，及时排除锈蚀，滴漏等现象。</w:t>
      </w:r>
    </w:p>
    <w:p w14:paraId="77BB21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⑤系统水池：每月检查系统水池的水位情况，每半年检查系统水池的完好情况。</w:t>
      </w:r>
    </w:p>
    <w:p w14:paraId="21C17B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⑥水泵接合器：每月检查水泵接合器的外观情况，及时排除锈蚀、滴漏等现象。</w:t>
      </w:r>
    </w:p>
    <w:p w14:paraId="76A7E0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⑦水泵吸入过滤器：每月检查其阻塞情况，必要的话清理。</w:t>
      </w:r>
    </w:p>
    <w:p w14:paraId="725D8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（4）防火分隔系统</w:t>
      </w:r>
    </w:p>
    <w:p w14:paraId="0036CA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①每月检查防火卷帘门的外观志等。</w:t>
      </w:r>
    </w:p>
    <w:p w14:paraId="403618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②每月手动和联动测试防火卷帘门的启闭性能。</w:t>
      </w:r>
    </w:p>
    <w:p w14:paraId="558681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③每月检查防火卷帘门前通道的畅通性。</w:t>
      </w:r>
    </w:p>
    <w:p w14:paraId="3BFB64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（5）消防广播和消防通讯系统</w:t>
      </w:r>
    </w:p>
    <w:p w14:paraId="50B4CD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①消防控制室进行选区广播，进行扩音机控制功能试验。每月测试一次。</w:t>
      </w:r>
    </w:p>
    <w:p w14:paraId="1A07BB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②共用扬声器运行切换试验。每月测试一次。</w:t>
      </w:r>
    </w:p>
    <w:p w14:paraId="6911B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③消防控制室进行消防紧急电话通话试验，每月测试一次。</w:t>
      </w:r>
    </w:p>
    <w:p w14:paraId="1AD968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④现场电话插孔进行消防紧急电话通话，每季度按总量的100%抽检测试，全年完成四次100%测试。</w:t>
      </w:r>
    </w:p>
    <w:p w14:paraId="0EE3D7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⑤线路维护：每半年对消防广播线路进行测试，每年7月和1月对消防电话进行测试，检查线路敷设情况，确保系统正常运行。</w:t>
      </w:r>
    </w:p>
    <w:p w14:paraId="7FA58D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4.消防主要设备定期检测要求与标准</w:t>
      </w:r>
    </w:p>
    <w:p w14:paraId="5EBBF0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（1）烟、温探测器喷烟、加温主机地址码与实地相符，指示灯闪，主控室报警每回路抽测2点以上。</w:t>
      </w:r>
    </w:p>
    <w:p w14:paraId="4AC0B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（2）手动报警按钮插钥匙或卸玻璃联动功能能否实现，主控室报警，地址码正确、可分区测全部或部分联动功能。</w:t>
      </w:r>
    </w:p>
    <w:p w14:paraId="49377D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（3）控制信号模块实地检测试验输入输出接线端无松动脱落、元件动作灵敏配合联动功能测试运行。</w:t>
      </w:r>
    </w:p>
    <w:p w14:paraId="073B15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（4）报警主机查阅信息消音、复位键灵敏、信息准确、不漏报、网络通讯正常。</w:t>
      </w:r>
    </w:p>
    <w:p w14:paraId="5773D7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（5）消防电话与主控室通话，通话质量好、清晰。</w:t>
      </w:r>
    </w:p>
    <w:p w14:paraId="19DD82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（6）应急疏散灯断电转换应急转换正常，照度符合要求。</w:t>
      </w:r>
    </w:p>
    <w:p w14:paraId="47A8E1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（7）消防泵手动盘、点动二次回路切换泵无阻卡、故障、切换正常，绝缘电阻达标。</w:t>
      </w:r>
    </w:p>
    <w:p w14:paraId="4A69D5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（8）水力警铃放水试验警铃正常工作，报警阀信号反馈。</w:t>
      </w:r>
    </w:p>
    <w:p w14:paraId="4DBF2D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（9）水流指示器末端放水喷淋系统正常工作，信号反馈主控室各分区系统抽查1-2处。</w:t>
      </w:r>
    </w:p>
    <w:p w14:paraId="6CC62C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（10）防火卷帘门点相应区域烟感消防通道：消防联动后分二次下降，上下限位工作正常防火分隔，消防联动后一次性降到底，上下限位工作正常。</w:t>
      </w:r>
    </w:p>
    <w:p w14:paraId="15E4A2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（11）试验消火栓放水试验消火栓充实水柱≥7米试顶层或地下室。</w:t>
      </w:r>
    </w:p>
    <w:p w14:paraId="4A80DE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（12）室外消防栓查看外观接口帽完好，周围无障碍。</w:t>
      </w:r>
    </w:p>
    <w:p w14:paraId="42CA2A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（13）室内消防栓打开查看设施齐全、完好、栓口不漏水。</w:t>
      </w:r>
    </w:p>
    <w:p w14:paraId="20E3BB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（14）消火栓按钮卸玻璃指示灯亮、直接启泵功能正常分区在某层抽查。</w:t>
      </w:r>
    </w:p>
    <w:p w14:paraId="731B41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（15）水泵接合器查看外观接口帽完好，周围无障碍。</w:t>
      </w:r>
    </w:p>
    <w:p w14:paraId="6E3F5C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（16）消防水系统压力表查看读数压力符合要求。</w:t>
      </w:r>
    </w:p>
    <w:p w14:paraId="61DF00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（17）送、排烟风机主控室点动启、停正常。</w:t>
      </w:r>
    </w:p>
    <w:p w14:paraId="39B758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（18）送、排烟风阀手动开、关开、闭灵活，无卡阻现象，反馈信号抽查可结合联动测试进行。</w:t>
      </w:r>
    </w:p>
    <w:p w14:paraId="67EB79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5.对上述全面检查测试中发现的问题故障及时解决和排除。对一时无法解决的问题和难以排除的故障应立即报告使用单位相关人员，同时采取应急措施。</w:t>
      </w:r>
    </w:p>
    <w:p w14:paraId="44B70AFE">
      <w:pPr>
        <w:keepNext w:val="0"/>
        <w:keepLines w:val="0"/>
        <w:widowControl/>
        <w:suppressLineNumbers w:val="0"/>
        <w:spacing w:line="288" w:lineRule="auto"/>
        <w:jc w:val="left"/>
        <w:rPr>
          <w:rFonts w:hint="eastAsia" w:ascii="宋体" w:hAnsi="宋体" w:eastAsia="宋体" w:cs="宋体"/>
          <w:b/>
          <w:bCs/>
          <w:i w:val="0"/>
          <w:iCs w:val="0"/>
          <w:color w:val="auto"/>
          <w:kern w:val="0"/>
          <w:sz w:val="24"/>
          <w:szCs w:val="24"/>
          <w:highlight w:val="none"/>
          <w:lang w:val="en-US" w:eastAsia="zh-CN" w:bidi="ar"/>
        </w:rPr>
      </w:pPr>
      <w:bookmarkStart w:id="3" w:name="_Toc136012687"/>
      <w:r>
        <w:rPr>
          <w:rFonts w:hint="eastAsia" w:ascii="宋体" w:hAnsi="宋体" w:eastAsia="宋体" w:cs="宋体"/>
          <w:b/>
          <w:bCs/>
          <w:i w:val="0"/>
          <w:iCs w:val="0"/>
          <w:color w:val="auto"/>
          <w:kern w:val="0"/>
          <w:sz w:val="24"/>
          <w:szCs w:val="24"/>
          <w:highlight w:val="none"/>
          <w:lang w:val="en-US" w:eastAsia="zh-CN" w:bidi="ar"/>
        </w:rPr>
        <w:t>（八）其他要求</w:t>
      </w:r>
      <w:bookmarkEnd w:id="3"/>
    </w:p>
    <w:p w14:paraId="26BDC6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1.维保单位对每次服务均提供真实有效的检查测试记录，以便我院建档和消防大队的检查；</w:t>
      </w:r>
    </w:p>
    <w:p w14:paraId="7F8713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维保单位对华东师范大学澄迈实验中学的所有消防设施设备进行维保、维修、更换，以保证在服务期内所有消防设施设备可以正常使用，如消防设施设备需要更换，更换的品牌应与原设备一致，如因市场原因，无法提供原设备品牌的，应征得使用单位同意后，更换同档次或以上品牌。</w:t>
      </w:r>
    </w:p>
    <w:p w14:paraId="27ED65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维保单位设置24小时保障电话，须提供1名熟悉使用单位消防系统的技术人员，负责消防设施的维保。在服务期限内，维保单位接到使用单位系统维护通知后1小时内响应，应迅速组织技术人员确保在最短时间内（普通故障3小时之内到达现场〈含响应时间&gt;重大故障2小时之内到达现场〈含响应时间〉）进行维护或维修（含节假日）。故障不能立即修复（当场没有条件解决的），维保单位采取应急措施后，在24小时内解决；需要由设备厂家解决，不影响系统正常工作的应在10个工作日内解决，影响系统正常工作的应在5个工作日内解决，恢复系统正常工作状态。在响应书中请提供详细的售后服务承诺书。</w:t>
      </w:r>
    </w:p>
    <w:p w14:paraId="2578EC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4.有责任和义务配合使用单位及上级主管部门组织的消防检查、培训、宣传及其他消防相关工作。</w:t>
      </w:r>
    </w:p>
    <w:p w14:paraId="2F2974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5.全面认真执行国家的有关规定，并承担相应的责任。认真服从消防管理部门的技术指导。</w:t>
      </w:r>
    </w:p>
    <w:p w14:paraId="566E77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6.消防系统维保单位需每月把维保情况书面报表向使用单位汇报，发现问题及时提出整改意见，以便使用单位随时检查。保证随时发现和解决问题，确保设备运行状况良好。</w:t>
      </w:r>
    </w:p>
    <w:p w14:paraId="5C1647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7.如消防系统和设备发生故障，维保单位应进行设备暂停使用或给予恰当的保护。</w:t>
      </w:r>
    </w:p>
    <w:p w14:paraId="2B272F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8.维保单位需到现场了解消防及配套设备的运行情况，并有针对性地制定维保方案和实施方案，对于使用单位提出维保要求如有缺少相关维保规范要求，维保单位应按规范要求给予补充完善。</w:t>
      </w:r>
    </w:p>
    <w:p w14:paraId="2FBB3F04">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09AC8A"/>
    <w:multiLevelType w:val="multilevel"/>
    <w:tmpl w:val="3209AC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350FB"/>
    <w:rsid w:val="51953999"/>
    <w:rsid w:val="6C835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2026-07-13T03:18:00Z</dcterms:created>
  <dc:creator>谭保鸿</dc:creator>
  <cp:lastModifiedBy>谭保鸿</cp:lastModifiedBy>
  <dcterms:modified xsi:type="dcterms:W3CDTF">2026-07-13T03:19:07Z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43D56CE5A4BF445684AC10A34CF34BB7_11</vt:lpwstr>
  </property>
  <property fmtid="{D5CDD505-2E9C-101B-9397-08002B2CF9AE}" pid="4" name="KSOTemplateDocerSaveRecord">
    <vt:lpwstr>eyJoZGlkIjoiZDc4OGNjMDA4ODgyMGNkMDc0ZWJhYTFjMDNlY2Q0NzEiLCJ1c2VySWQiOiIxNTk0OTI0NjM2In0=</vt:lpwstr>
  </property>
</Properties>
</file>